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HU.030 – MANTER CONDICIONANTES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Não há um cadastro próprio de condicionante, com pergunta reutilizável, regra numérica, crítica e textos de parecer. O que a pessoa vê são as condicionantes da planilha de tratamento vigente, na aba Enquadramento do Motor de regras: número, texto e observação. Elas mudam quando uma planilha nova é importada e publicada. Não dá para criar, editar ou excluir uma condicionante isolada. No rascunho do Quadro 10, a referência de condicionante é um texto opcional de até 50 caracteres. Ela não é conferida contra uma lista de perguntas. Quando a permissão é permitido com condições, o motor usa essa referência no parecer consolidado. A ficha do CNAE não edita condicionante sanitária, e esta tela não reclassifica o risco pela resposta do requerente.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Manter condicionantes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Condicionantes na aba Enquadramento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exibir as condicionantes da planilha vigente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texto que acompanha a versão publicada seja consultável.</w:t>
      </w:r>
    </w:p>
    <w:p>
      <w:pPr>
        <w:pStyle w:val="Heading1"/>
      </w:pPr>
      <w:r>
        <w:t>HISTÓRIA DE USUÁRIO: Manter condicionantes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servidor que consulta o motor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as condicionantes da planilha de tratamento vigente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saiba quais textos acompanham a versão publicada.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Leitura: quem consulta CNAEs, na aba Enquadramento</w:t>
      </w:r>
    </w:p>
    <w:p>
      <w:pPr>
        <w:jc w:val="both"/>
      </w:pPr>
      <w:r>
        <w:rPr>
          <w:rFonts w:ascii="Arial" w:hAnsi="Arial"/>
          <w:sz w:val="24"/>
        </w:rPr>
        <w:t>• Troca da lista: importar e publicar a planilha, por quem mantém o motor</w:t>
      </w:r>
    </w:p>
    <w:p>
      <w:pPr>
        <w:jc w:val="both"/>
      </w:pPr>
      <w:r>
        <w:rPr>
          <w:rFonts w:ascii="Arial" w:hAnsi="Arial"/>
          <w:sz w:val="24"/>
        </w:rPr>
        <w:t>• No Quadro 10, a referência de condicionante é opcional e tem até 50 caracteres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HU-027 — a lista vem da versão vigente da planilha de tratamento</w:t>
      </w:r>
    </w:p>
    <w:p>
      <w:pPr>
        <w:jc w:val="both"/>
      </w:pPr>
      <w:r>
        <w:rPr>
          <w:rFonts w:ascii="Arial" w:hAnsi="Arial"/>
          <w:sz w:val="24"/>
        </w:rPr>
        <w:t xml:space="preserve">• HU-028 — a referência textual fica na linha do Quadro 10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 xml:space="preserve">• HU-049 — o motor usa essas condicionantes no parecer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Condicionantes na aba Enquadramento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Regras &gt; Motor de regras &gt; Enquadramento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lou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Leitura na aba Enquadramento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versão vigente da planilha de tratamento tem condicionantes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quem consulta CNAEs abre a aba Enquadramento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vê número, texto e observação de cada condicionante dessa versão, e a contagem no resumo</w:t>
      </w:r>
    </w:p>
    <w:p/>
    <w:p>
      <w:r>
        <w:rPr>
          <w:rFonts w:ascii="Arial" w:hAnsi="Arial"/>
          <w:b/>
          <w:sz w:val="22"/>
        </w:rPr>
        <w:t>Cenário 2: Sem cadastro isolado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pessoa procura criar, alterar ou excluir uma condicionante sozinha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percorre o Motor de regras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não há essa manutenção; a alteração vem da importação da planilha</w:t>
      </w:r>
    </w:p>
    <w:p/>
    <w:p>
      <w:r>
        <w:rPr>
          <w:rFonts w:ascii="Arial" w:hAnsi="Arial"/>
          <w:b/>
          <w:sz w:val="22"/>
        </w:rPr>
        <w:t>Cenário 3: Referência no Quadro 10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existe rascunho do Quadro 10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grava a referência de condicionante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texto de até 50 caracteres fica na linha do rascunho, sem consulta a um cadastro de perguntas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HU.030 - MANTER CONDICIONANTES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2" Type="http://schemas.openxmlformats.org/officeDocument/2006/relationships/image" Target="media/image1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