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HU.031 – MANTER REGRAS TERRITORIAIS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mantenedor ajusta uma regra territorial que já existe e publica o rascunho com outro mantenedor. A manutenção fica na aba territoriais do Motor de regras. Não há item de menu próprio. Quem só consulta a LOUOS ou os CNAEs lê o hub e não grava. A alteração de título, situação, código do logradouro, nome do logradouro, camada, filtro, zona alvo, motivo de análise, texto de decisão, base legal, CNAEs e endereços fica no rascunho. Tipo e efeito não mudam. Código que não existe em nenhuma versão territorial é recusado e não cria regra nova. A vigente não é editada no lugar. Publicar exige publicador diferente do autor. O autor recebe a mensagem de que a publicação por quatro olhos exige outra pessoa. Outro mantenedor publica e a versão entra em uso. Reativar só vale para versão já publicada: rascunho pede publicação antes. A vigente anterior é encerrada, não apagada. Descartar o rascunho apaga as regras dele e o próprio rascunho; a vigente permanece. Versão de outro assunto é recusada. Publicar ou descartar o que não é rascunho informa que a operação exige rascunho. Cada CNAE informado tem os 7 dígitos da subclasse, sem máscara, e não se repete. A aplicação da regra no processo é outro fluxo.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regras territoriais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Regras territoriais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mantenedor da LOUOS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ajustar a restrição territorial vigente só pela publicação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logradouro, camada ou lista permitida mudem quando outro mantenedor publicar o rascunho.</w:t>
      </w:r>
    </w:p>
    <w:p>
      <w:pPr>
        <w:pStyle w:val="Heading1"/>
      </w:pPr>
      <w:r>
        <w:t>HISTÓRIA DE USUÁRIO: Manter regras territoriais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mantenedor autorizado a manter a LOUOS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ajustar título, alvos, CNAEs e endereços de uma regra já existente e publicar o rascunho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versão vigente continue a anterior até a publicação por outra pessoa.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Mantenedor autorizado a manter a LOUOS</w:t>
      </w:r>
    </w:p>
    <w:p>
      <w:pPr>
        <w:jc w:val="both"/>
      </w:pPr>
      <w:r>
        <w:rPr>
          <w:rFonts w:ascii="Arial" w:hAnsi="Arial"/>
          <w:sz w:val="24"/>
        </w:rPr>
        <w:t>• Código de regra territorial já versionado</w:t>
      </w:r>
    </w:p>
    <w:p>
      <w:pPr>
        <w:jc w:val="both"/>
      </w:pPr>
      <w:r>
        <w:rPr>
          <w:rFonts w:ascii="Arial" w:hAnsi="Arial"/>
          <w:sz w:val="24"/>
        </w:rPr>
        <w:t>• Título, situação e, quando enviados, CNAEs de 7 dígitos sem repetição</w:t>
      </w:r>
    </w:p>
    <w:p>
      <w:pPr>
        <w:jc w:val="both"/>
      </w:pPr>
      <w:r>
        <w:rPr>
          <w:rFonts w:ascii="Arial" w:hAnsi="Arial"/>
          <w:sz w:val="24"/>
        </w:rPr>
        <w:t>• Outro mantenedor, diferente do autor do rascunho, para publicar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A regra já existe em alguma versão territorial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A aplicação da restrição no processo continua nos fluxos de identificação e de restrição territorial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Regras territoriais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Motor de regras, aba territoriais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lou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Gravar no rascunho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da regra já existe e o mantenedor está autorizado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ele envia título, situação, CNAEs e endereços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alteração fica no rascunho, tipo e efeito não mudam, e a vigente continua a anterior até a publicação</w:t>
      </w:r>
    </w:p>
    <w:p/>
    <w:p>
      <w:r>
        <w:rPr>
          <w:rFonts w:ascii="Arial" w:hAnsi="Arial"/>
          <w:b/>
          <w:sz w:val="22"/>
        </w:rPr>
        <w:t>Cenário 2: Código inexistente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não existe em nenhuma versão territorial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mantenedor tenta gravar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gravação é recusada e nenhuma regra nova é criada</w:t>
      </w:r>
    </w:p>
    <w:p/>
    <w:p>
      <w:r>
        <w:rPr>
          <w:rFonts w:ascii="Arial" w:hAnsi="Arial"/>
          <w:b/>
          <w:sz w:val="22"/>
        </w:rPr>
        <w:t>Cenário 3: Publicação pelo autor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rascunho territorial foi aberto pelo próprio usuário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esse usuário publica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publicação é recusada</w:t>
      </w:r>
    </w:p>
    <w:p/>
    <w:p>
      <w:r>
        <w:rPr>
          <w:rFonts w:ascii="Arial" w:hAnsi="Arial"/>
          <w:b/>
          <w:sz w:val="22"/>
        </w:rPr>
        <w:t>Cenário 4: Publicação por outro mantenedor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outro mantenedor autorizado abre o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publica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versão passa a vigorar</w:t>
      </w:r>
    </w:p>
    <w:p/>
    <w:p>
      <w:r>
        <w:rPr>
          <w:rFonts w:ascii="Arial" w:hAnsi="Arial"/>
          <w:b/>
          <w:sz w:val="22"/>
        </w:rPr>
        <w:t>Cenário 5: Descarte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rascunho territorial aberto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mantenedor descarta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rascunho e as regras dele saem, e a versão vigente permanece</w:t>
      </w:r>
    </w:p>
    <w:p/>
    <w:p>
      <w:r>
        <w:rPr>
          <w:rFonts w:ascii="Arial" w:hAnsi="Arial"/>
          <w:b/>
          <w:sz w:val="22"/>
        </w:rPr>
        <w:t>Cenário 6: Reativar rascunho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versão ainda é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mantenedor tenta reativá-la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mensagem pede que ela seja publicada antes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HU.031 - MANTER REGRAS TERRITORIAIS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2" Type="http://schemas.openxmlformats.org/officeDocument/2006/relationships/image" Target="media/image1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