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HU.034 – MANTER CNAES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consulta, cadastra, altera, ativa, desativa e exclui subclasses CNAE. Na mesma ficha fica o grau de risco municipal vigente daquela subclasse: Baixo, Médio risco ou Alto. Quem só consulta a lista e a exportação não abre a ficha para alterar. A subclasse tem sete dígitos, no padrão de exibição com traço e barra, e a hierarquia de seção, divisão, grupo e classe. CNAE novo nasce ativo. Não há importação da planilha do IBGE nesta tela: o cadastro é um registro por vez, sem segunda pessoa para publicar. A ficha não traz perguntas de condicionante sanitária. Se não houver versão vigente da classificação municipal, criar ou editar é recusado.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CNAEs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CNAEs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a tabela de subclasses CNAE e o grau de risco municipal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motor use uma base de atividades atualizada.</w:t>
      </w:r>
    </w:p>
    <w:p>
      <w:pPr>
        <w:pStyle w:val="Heading1"/>
      </w:pPr>
      <w:r>
        <w:t>HISTÓRIA DE USUÁRIO: Manter CNAEs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consultar, cadastrar, alterar, ativar ou desativar e excluir subclasses CNAE, com o grau de risco na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classificação vigente da atividade fique registrada.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e exportação: quem pode consultar CNAEs</w:t>
      </w:r>
    </w:p>
    <w:p>
      <w:pPr>
        <w:jc w:val="both"/>
      </w:pPr>
      <w:r>
        <w:rPr>
          <w:rFonts w:ascii="Arial" w:hAnsi="Arial"/>
          <w:sz w:val="24"/>
        </w:rPr>
        <w:t>• Criar, editar, mudar a situação e excluir: administrador que mantém CNAEs</w:t>
      </w:r>
    </w:p>
    <w:p>
      <w:pPr>
        <w:jc w:val="both"/>
      </w:pPr>
      <w:r>
        <w:rPr>
          <w:rFonts w:ascii="Arial" w:hAnsi="Arial"/>
          <w:sz w:val="24"/>
        </w:rPr>
        <w:t>• Existir versão vigente do risco municipal para gravar a classificação</w:t>
      </w:r>
    </w:p>
    <w:p>
      <w:pPr>
        <w:jc w:val="both"/>
      </w:pPr>
      <w:r>
        <w:rPr>
          <w:rFonts w:ascii="Arial" w:hAnsi="Arial"/>
          <w:sz w:val="24"/>
        </w:rPr>
        <w:t>• Subclasse com exatamente sete dígitos, ainda não usada; denominação e descrições da hierarquia com até 255 caracteres</w:t>
      </w:r>
    </w:p>
    <w:p>
      <w:pPr>
        <w:jc w:val="both"/>
      </w:pPr>
      <w:r>
        <w:rPr>
          <w:rFonts w:ascii="Arial" w:hAnsi="Arial"/>
          <w:sz w:val="24"/>
        </w:rPr>
        <w:t>• Grau obrigatório: Baixo, Médio risco ou Alto</w:t>
      </w:r>
    </w:p>
    <w:p>
      <w:pPr>
        <w:jc w:val="both"/>
      </w:pPr>
      <w:r>
        <w:rPr>
          <w:rFonts w:ascii="Arial" w:hAnsi="Arial"/>
          <w:sz w:val="24"/>
        </w:rPr>
        <w:t>• Informar se exige responsável técnico, se exige responsável técnico apenas no Alto, se possui fator multiplicador e se exige o detalhamento desse fator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HU-035 — o grau de risco municipal é gravado nesta mesma ficha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publicação em lote da classificação, com outra pessoa publicando, fica na importação oficial da planilha, fora desta tela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CNAEs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CNAEs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na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Listar e exportar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pode consultar CNAEs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lista e informa busca, situação, ordenação ou pede exportação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respeita o filtro e, na exportação, entrega CSV, planilha ou PDF desse conjunto</w:t>
      </w:r>
    </w:p>
    <w:p/>
    <w:p>
      <w:r>
        <w:rPr>
          <w:rFonts w:ascii="Arial" w:hAnsi="Arial"/>
          <w:b/>
          <w:sz w:val="22"/>
        </w:rPr>
        <w:t>Cenário 2: Cadastrar com risco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versão vigente de risco municipal e a pessoa mantém CNAEs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grava uma subclasse de sete dígitos ainda não cadastrada, com hierarquia, indicadores e grau de risco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CNAE é criado ativo e a classificação fica na versão vigente</w:t>
      </w:r>
    </w:p>
    <w:p/>
    <w:p>
      <w:r>
        <w:rPr>
          <w:rFonts w:ascii="Arial" w:hAnsi="Arial"/>
          <w:b/>
          <w:sz w:val="22"/>
        </w:rPr>
        <w:t>Cenário 3: Recusa sem versão de risco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versão vigente de risco municipal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tenta cadastrar ou atualizar um CNAE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gravação não ocorre e a tela informa que não há versão vigente para registrar a classificação</w:t>
      </w:r>
    </w:p>
    <w:p/>
    <w:p>
      <w:r>
        <w:rPr>
          <w:rFonts w:ascii="Arial" w:hAnsi="Arial"/>
          <w:b/>
          <w:sz w:val="22"/>
        </w:rPr>
        <w:t>Cenário 4: Exclusão com vínculo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CNAE está vinculado a empresa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excluí-lo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permanece e a mensagem informa que CNAE vinculado a empresas não pode ser excluído; a desativação continua disponível</w:t>
      </w:r>
    </w:p>
    <w:p/>
    <w:p>
      <w:r>
        <w:rPr>
          <w:rFonts w:ascii="Arial" w:hAnsi="Arial"/>
          <w:b/>
          <w:sz w:val="22"/>
        </w:rPr>
        <w:t>Cenário 5: Troca da subclasse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classificação municipal, a classificação sanitária, a condicionante de risco ou o CNAE de escritório virtual aponta para a subclasse atual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grava outra subclasse de sete dígitos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esses vínculos passam a usar a subclasse nova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HU.034 - MANTER CNAES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8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