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HU.036 – MANTER GATILHOS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ajusta título, motivo e situação dos gatilhos que já existem. O gatilho não nasce nesta tela e não é excluído. A lista não pagina e ordena pelo código. Cada linha mostra código, rótulo, título, motivo e se está ativo. Atualizar grava título e motivo. Código e categoria enviados são ignorados. Desligar inverte a situação e não apaga o registro. Gatilho reativado informa que os processos voltam a ser encaminhados à análise técnica. Gatilho desativado informa que os processos passam a concluir no fluxo expresso. O motor só aplica os gatilhos ativos no roteamento do expresso. Os gatilhos conhecidos são enquadramento ausente, ZEIS especial, dados do processo, regra territorial, localização divergente e zona em empate. A tela lista os que estiverem cadastrados, não um número fixo escrito na interface. O grau municipal do CNAE continua na ficha do CNAE.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gatilhos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Gatilhos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ligar ou desligar um gatilho já existente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fluxo expresso deixe de aplicar o gatilho inativo.</w:t>
      </w:r>
    </w:p>
    <w:p>
      <w:pPr>
        <w:pStyle w:val="Heading1"/>
      </w:pPr>
      <w:r>
        <w:t>HISTÓRIA DE USUÁRIO: Manter gatilhos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gatilhos de risco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reescrever o motivo e ligar ou desligar o gatilho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código permaneça e a mensagem explique o efeito no expresso.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gatilhos de risco</w:t>
      </w:r>
    </w:p>
    <w:p>
      <w:pPr>
        <w:jc w:val="both"/>
      </w:pPr>
      <w:r>
        <w:rPr>
          <w:rFonts w:ascii="Arial" w:hAnsi="Arial"/>
          <w:sz w:val="24"/>
        </w:rPr>
        <w:t>• Gatilho já cadastrado</w:t>
      </w:r>
    </w:p>
    <w:p>
      <w:pPr>
        <w:jc w:val="both"/>
      </w:pPr>
      <w:r>
        <w:rPr>
          <w:rFonts w:ascii="Arial" w:hAnsi="Arial"/>
          <w:sz w:val="24"/>
        </w:rPr>
        <w:t>• Título com até 255 caracteres e motivo com até 1000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gatilho já existe; código novo não nasce nesta tela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grau municipal do CNAE permanece na ficha do CNAE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Gatilhos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Gatilhos de risco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gatilh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Motivo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gatilho já existe e o administrador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título e motivo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permanece e título e motivo passam a ser os enviados</w:t>
      </w:r>
    </w:p>
    <w:p/>
    <w:p>
      <w:r>
        <w:rPr>
          <w:rFonts w:ascii="Arial" w:hAnsi="Arial"/>
          <w:b/>
          <w:sz w:val="22"/>
        </w:rPr>
        <w:t>Cenário 2: Desligar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gatilho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gatilho fica inativo, continua na lista e a mensagem informa que os processos passam a concluir no fluxo expresso</w:t>
      </w:r>
    </w:p>
    <w:p/>
    <w:p>
      <w:r>
        <w:rPr>
          <w:rFonts w:ascii="Arial" w:hAnsi="Arial"/>
          <w:b/>
          <w:sz w:val="22"/>
        </w:rPr>
        <w:t>Cenário 3: Religar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gatilho está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informa que os processos voltam a ser encaminhados à análise técnica</w:t>
      </w:r>
    </w:p>
    <w:p/>
    <w:p>
      <w:r>
        <w:rPr>
          <w:rFonts w:ascii="Arial" w:hAnsi="Arial"/>
          <w:b/>
          <w:sz w:val="22"/>
        </w:rPr>
        <w:t>Cenário 4: Sem código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na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cadastrar ou excluir um gatilho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existem a listagem, a atualização de título e motivo e a ativação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HU.036 - MANTER GATILHOS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image" Target="media/image1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