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HU.057 – APLICAR EXCEÇÕES DE RISCO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Uma exceção de risco ativa tira o caso do mapa e manda para análise, mesmo quando o mapa diria fluxo expresso. Quem mantém os gatilhos de risco liga ou desliga cada exceção e edita o motivo. Desligar não apaga o registro: o sistema deixa de aplicá-la. A tela não cria exceção nova fora das já previstas. Na carga inicial há três exceções, ativas na criação: enquadramento ausente, zona especial e dados do processo. Se o tipo de imóvel exige análise, ou se o valor informado não é reconhecido, entra a exceção de dados do processo. Tipo de imóvel omitido não aciona essa exceção. A consulta prévia não envia a zona especial encontrada no mapa como exceção de risco. Essa exceção só vale se já vier indicada no caso e estiver ativa. O sistema ainda não oferece mudança de nível por resposta de condicionante. O risco sanitário permanece o da lista, e as frases da linha municipal só entram na fundamentação. Outras situações do fluxo expresso, como regra de lugar, divergência de zona ou empate de porções, também podem mandar o caso à análise. Elas não passam por esta lista de exceções.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EP06 — Classificação de Risco</w:t>
      </w:r>
    </w:p>
    <w:p>
      <w:r>
        <w:rPr>
          <w:rFonts w:ascii="Arial" w:hAnsi="Arial"/>
          <w:sz w:val="22"/>
        </w:rPr>
        <w:t>HISTÓRIA DE USUÁRIO: Aplicar exceções de risco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Aplicar exceções de risco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EP06 — Classificação de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aplicar as exceções que mandam o caso à análise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um contexto marcado como exceção não permaneça no fluxo expresso.</w:t>
      </w:r>
    </w:p>
    <w:p>
      <w:pPr>
        <w:pStyle w:val="Heading1"/>
      </w:pPr>
      <w:r>
        <w:t>HISTÓRIA DE USUÁRIO: Aplicar exceções de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ligar ou desligar as exceções de risco e ver o motivo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encaminhamento mude sem apagar o cadastro da exceção.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Exceção cadastrada e ativa</w:t>
      </w:r>
    </w:p>
    <w:p>
      <w:pPr>
        <w:jc w:val="both"/>
      </w:pPr>
      <w:r>
        <w:rPr>
          <w:rFonts w:ascii="Arial" w:hAnsi="Arial"/>
          <w:sz w:val="24"/>
        </w:rPr>
        <w:t>• Quem mantém os gatilhos de risco altera motivo, liga e desliga</w:t>
      </w:r>
    </w:p>
    <w:p>
      <w:pPr>
        <w:jc w:val="both"/>
      </w:pPr>
      <w:r>
        <w:rPr>
          <w:rFonts w:ascii="Arial" w:hAnsi="Arial"/>
          <w:sz w:val="24"/>
        </w:rPr>
        <w:t>• Tipo de imóvel informado quando a exceção de dados do processo depender dele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HU.053 — Classificar CNAE por risco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Fluxo expresso, que também encaminha por regra de lugar, divergência de zona ou empate, fora desta lista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Aplicar exceções de risco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Regras &gt; Gatilhos de risco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gatilho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Tipo de imóvel que exige análise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exceção de dados do processo está ativa e o tipo de imóvel exige análise ou não é reconhecido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sistema classifica a atividade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encaminhamento vai para análise e a exceção aparece entre as acionadas</w:t>
      </w:r>
    </w:p>
    <w:p/>
    <w:p>
      <w:r>
        <w:rPr>
          <w:rFonts w:ascii="Arial" w:hAnsi="Arial"/>
          <w:b/>
          <w:sz w:val="22"/>
        </w:rPr>
        <w:t>Cenário 2: Risco sanitário sem reclassificação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sistema recebe o risco sanitário de um CNAE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resultado sanitário é lido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nível não muda por resposta de condicionante</w:t>
      </w:r>
    </w:p>
    <w:p/>
    <w:p>
      <w:r>
        <w:rPr>
          <w:rFonts w:ascii="Arial" w:hAnsi="Arial"/>
          <w:b/>
          <w:sz w:val="22"/>
        </w:rPr>
        <w:t>Cenário 3: Restrição vista na consulta prévia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consulta prévia identifica restrição no ponto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risco é classificado por essa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zona especial não entra sozinha como exceção de risco</w:t>
      </w:r>
    </w:p>
    <w:p/>
    <w:p>
      <w:r>
        <w:rPr>
          <w:rFonts w:ascii="Arial" w:hAnsi="Arial"/>
          <w:b/>
          <w:sz w:val="22"/>
        </w:rPr>
        <w:t>Cenário 4: Exceção desligada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exceção foi desligada na tela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sistema classifica um caso que antes a acionaria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ela deixa de alterar o encaminhamento e o cadastro permanece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HU.057 - APLICAR EXCEÇÕES DE RISCO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6" Type="http://schemas.openxmlformats.org/officeDocument/2006/relationships/image" Target="media/image1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