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HU.125 – TEMPO MÉDIO DE ANÁLISE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pela implementação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O gestor vê, no mesmo recorte, o tempo por etapa, o tempo agregado de emissão do documento de viabilidade, os percentis do período, os percentis por categoria e os gargalos. Não é uma média única. A lista processo a processo da emissão fica em outra tela. A exportação desta tela é o detalhe por etapa, em CSV, XLSX ou PDF habilitados, e não a lista de sedes de escritório virtual. Os filtros são datas, setor, analista, bairro, atividade e categoria. A consulta fica registrada.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EP15 — Relatórios e Indicadores</w:t>
      </w:r>
    </w:p>
    <w:p>
      <w:r>
        <w:rPr>
          <w:rFonts w:ascii="Arial" w:hAnsi="Arial"/>
          <w:sz w:val="22"/>
        </w:rPr>
        <w:t>HISTÓRIA DE USUÁRIO: Tempo médio de análise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Tempo de análise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EP15 — Relatórios e Indicadores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gestor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ver onde o tempo de análise se concentra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eu compare etapas e não só uma média única.</w:t>
      </w:r>
    </w:p>
    <w:p>
      <w:pPr>
        <w:pStyle w:val="Heading1"/>
      </w:pPr>
      <w:r>
        <w:t>HISTÓRIA DE USUÁRIO: Tempo médio de análise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gestor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etapa, emissão agregada, percentis e gargalos no mesmo recorte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detalhe da emissão documento a documento fique na tela própria.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Atribuição de consultar relatórios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Processos com tempo de etapa e de emissão já apurado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Tempo de análise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Indicadores &gt; Tempo de análise. O detalhe processo a processo da emissão fica em Indicadores &gt; Emissão da viabilidade.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tempo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Medidas do recorte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gestor informa o recorte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abre o tempo de análise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vê etapa, emissão agregada, percentis e gargalos do mesmo filtro, e a consulta fica registrada</w:t>
      </w:r>
    </w:p>
    <w:p/>
    <w:p>
      <w:r>
        <w:rPr>
          <w:rFonts w:ascii="Arial" w:hAnsi="Arial"/>
          <w:b/>
          <w:sz w:val="22"/>
        </w:rPr>
        <w:t>Cenário 2: Exportar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gestor pede CSV, XLSX ou PDF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exportação ocorre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arquivo é o detalhe por etapa e não a lista de escritório virtual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HU.125 - TEMPO MÉDIO DE ANÁLISE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43" Type="http://schemas.openxmlformats.org/officeDocument/2006/relationships/image" Target="media/image35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