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HU.153 – VINCULAR CNAE PRINCIPAL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tem vínculo ativo define ou troca o CNAE principal da empresa a partir da tabela oficial de CNAEs ativos. A busca devolve no máximo vinte opções, por prefixo da subclasse ou pela descrição. A tela pede confirmação, porque a troca impacta o enquadramento das próximas solicitações. O principal anterior deixa de ser principal e continua vinculado. A empresa fica com um único principal. CNAE inativo ou inexistente é recusado. O enquadramento da LOUOS não roda no momento em que o principal é salvo. A troca fica registrada com a subclasse anterior e a nova.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Vincular CNAE principal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CNAE principal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empresa tenha um CNAE principal ativo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atividade principal do cadastro venha da tabela oficial.</w:t>
      </w:r>
    </w:p>
    <w:p>
      <w:pPr>
        <w:pStyle w:val="Heading1"/>
      </w:pPr>
      <w:r>
        <w:t>HISTÓRIA DE USUÁRIO: Vincular CNAE principal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escolher o CNAE principal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atividade principal da empresa fique registrada.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Vínculo ativo com a empresa; em representação, o vínculo do representado</w:t>
      </w:r>
    </w:p>
    <w:p>
      <w:pPr>
        <w:jc w:val="both"/>
      </w:pPr>
      <w:r>
        <w:rPr>
          <w:rFonts w:ascii="Arial" w:hAnsi="Arial"/>
          <w:sz w:val="24"/>
        </w:rPr>
        <w:t>• CNAE ativo na tabela oficial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HU-151 — empresa cadastrada</w:t>
      </w:r>
    </w:p>
    <w:p>
      <w:pPr>
        <w:jc w:val="both"/>
      </w:pPr>
      <w:r>
        <w:rPr>
          <w:rFonts w:ascii="Arial" w:hAnsi="Arial"/>
          <w:sz w:val="24"/>
        </w:rPr>
        <w:t xml:space="preserve">• HU-034 — CNAE ativo na tabela oficial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enquadramento das próximas solicitações usa este principal; ele não é calculado ao salvar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CNAE principal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detalhe da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Definir principal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vínculo ativo e um CNAE ativo da tabela oficial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confirma a definição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CNAE fica como único principal, o anterior permanece vinculado sem ser principal, a mensagem é "CNAE principal definido com sucesso." e a troca fica registrada</w:t>
      </w:r>
    </w:p>
    <w:p/>
    <w:p>
      <w:r>
        <w:rPr>
          <w:rFonts w:ascii="Arial" w:hAnsi="Arial"/>
          <w:b/>
          <w:sz w:val="22"/>
        </w:rPr>
        <w:t>Cenário 2: CNAE inativo ou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está inativo ou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definição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informa que o CNAE não está ativo na tabela oficial</w:t>
      </w:r>
    </w:p>
    <w:p/>
    <w:p>
      <w:r>
        <w:rPr>
          <w:rFonts w:ascii="Arial" w:hAnsi="Arial"/>
          <w:b/>
          <w:sz w:val="22"/>
        </w:rPr>
        <w:t>Cenário 3: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tem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definir o principal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HU.153 - VINCULAR CNAE PRINCIPAL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