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HU.155 – CONSULTAR EMPRESAS VINCULADAS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lista e abre as empresas com as quais tem ou teve vínculo. Em representação ativa, a lista é a do representado. O total exibido conta só vínculos ativos; a lista inclui também os encerrados. Empresa sem vínculo não aparece, e o detalhe é recusado. A busca aceita um trecho da razão social ou do nome fantasia, sem diferenciar maiúsculas, ou o início numérico do CNPJ. A ordenação é pela razão social, crescente ou decrescente. A página pode ter 10, 15, 25 ou 50 itens. O detalhe mostra os dados cadastrais, os CNAEs e a lista de vínculos, marcando o da pessoa. Não há lista de todas as empresas do município nem consulta pública sem entrada no portal. Atualizar, gerir CNAEs e encerrar vínculo exigem vínculo ativo.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Consultar empresas vinculadas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Minhas empresas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mostrar ao cidadão só as empresas do próprio vínculo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 saiba CNPJ, CNAE principal, papel e se o vínculo segue ativo.</w:t>
      </w:r>
    </w:p>
    <w:p>
      <w:pPr>
        <w:pStyle w:val="Heading1"/>
      </w:pPr>
      <w:r>
        <w:t>HISTÓRIA DE USUÁRIO: Consultar empresas vinculadas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minhas empresas e o detalhe de cada uma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a situação do meu vínculo.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Para o detalhe, qualquer vínculo com a empresa, ativo ou encerrado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HU-151 — empresa e vínculo já existentes</w:t>
      </w:r>
    </w:p>
    <w:p>
      <w:pPr>
        <w:jc w:val="both"/>
      </w:pPr>
      <w:r>
        <w:rPr>
          <w:rFonts w:ascii="Arial" w:hAnsi="Arial"/>
          <w:sz w:val="24"/>
        </w:rPr>
        <w:t xml:space="preserve">• HU-147 — em representação, a lista é a do representado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Minhas empresas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Lista do próprio usuário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existem empresas com vínculo do usuário efetivo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abre Minhas empresas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somente essas empresas, com CNAE principal e a situação do vínculo, inclusive o encerrado</w:t>
      </w:r>
    </w:p>
    <w:p/>
    <w:p>
      <w:r>
        <w:rPr>
          <w:rFonts w:ascii="Arial" w:hAnsi="Arial"/>
          <w:b/>
          <w:sz w:val="22"/>
        </w:rPr>
        <w:t>Cenário 2: Busca e paginação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está aberta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 busca, ordenação pela razão social ou tamanho de página de 10, 15, 25 ou 50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respeita esses filtros; ordenação ou página fora das opções cai no padrão</w:t>
      </w:r>
    </w:p>
    <w:p/>
    <w:p>
      <w:r>
        <w:rPr>
          <w:rFonts w:ascii="Arial" w:hAnsi="Arial"/>
          <w:b/>
          <w:sz w:val="22"/>
        </w:rPr>
        <w:t>Cenário 3: Detalhe e acesso negado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vínculo ativo ou encerrado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abre o detalhe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dados e os vínculos; sem nenhum vínculo, o acesso é recusado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HU.155 - CONSULTAR EMPRESAS VINCULADAS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