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rFonts w:ascii="Arial" w:hAnsi="Arial" w:eastAsia="Arial"/>
          <w:b/>
          <w:color w:val="000000"/>
          <w:sz w:val="40"/>
        </w:rPr>
        <w:t>Entrega da Semana 3</w:t>
      </w:r>
    </w:p>
    <w:p>
      <w:pPr>
        <w:pStyle w:val="Subtitle"/>
        <w:jc w:val="center"/>
      </w:pPr>
      <w:r>
        <w:rPr>
          <w:rFonts w:ascii="Arial" w:hAnsi="Arial" w:eastAsia="Arial"/>
          <w:b w:val="0"/>
          <w:color w:val="000000"/>
          <w:sz w:val="26"/>
        </w:rPr>
        <w:t>Protótipo V1 e arquitetura</w:t>
      </w:r>
    </w:p>
    <w:p>
      <w:pPr>
        <w:spacing w:before="360" w:after="80"/>
        <w:jc w:val="center"/>
      </w:pPr>
      <w:r>
        <w:rPr>
          <w:rFonts w:ascii="Arial" w:hAnsi="Arial" w:eastAsia="Arial"/>
          <w:b/>
          <w:color w:val="000000"/>
          <w:sz w:val="32"/>
        </w:rPr>
        <w:t>Caderno Inteligente</w:t>
      </w:r>
    </w:p>
    <w:p>
      <w:pPr>
        <w:spacing w:after="80"/>
        <w:jc w:val="center"/>
      </w:pPr>
      <w:r>
        <w:rPr>
          <w:rFonts w:ascii="Arial" w:hAnsi="Arial" w:eastAsia="Arial"/>
          <w:color w:val="000000"/>
          <w:sz w:val="22"/>
        </w:rPr>
        <w:t>Grupo 8</w:t>
      </w:r>
    </w:p>
    <w:p>
      <w:pPr>
        <w:spacing w:before="240"/>
        <w:jc w:val="center"/>
      </w:pPr>
      <w:r>
        <w:rPr>
          <w:rFonts w:ascii="Arial" w:hAnsi="Arial" w:eastAsia="Arial"/>
          <w:color w:val="000000"/>
          <w:sz w:val="21"/>
        </w:rPr>
        <w:t>Outubro de 2026</w:t>
      </w:r>
    </w:p>
    <w:p>
      <w:r>
        <w:rPr>
          <w:rFonts w:ascii="Arial" w:hAnsi="Arial" w:eastAsia="Arial"/>
          <w:color w:val="000000"/>
        </w:rPr>
        <w:br w:type="page"/>
      </w:r>
    </w:p>
    <w:p>
      <w:pPr>
        <w:pStyle w:val="Heading1"/>
        <w:keepNext/>
        <w:pageBreakBefore w:val="0"/>
      </w:pPr>
      <w:r>
        <w:rPr>
          <w:rFonts w:ascii="Arial" w:hAnsi="Arial" w:eastAsia="Arial"/>
          <w:color w:val="000000"/>
        </w:rPr>
        <w:t>1 Apresentação da solução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O Caderno Inteligente é um sistema de apoio à decisão para o Planejamento e Controle da Produção. O Protótipo V1 consolida informações operacionais, identifica os SKUs que exigem atenção, explica os sinais encontrados, estima a demanda dos próximos três meses e apresenta uma recomendação quantitativa para revisão humana.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A solução não substitui o responsável pelo PCP e não cria ordens de produção automaticamente. O objetivo é reduzir o tempo de análise e tornar cada prioridade e recomendação rastreável.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1.1 Links da entrega</w:t>
      </w:r>
    </w:p>
    <w:p>
      <w:r>
        <w:rPr>
          <w:rFonts w:ascii="Arial" w:hAnsi="Arial" w:eastAsia="Arial"/>
          <w:b/>
          <w:color w:val="000000"/>
        </w:rPr>
        <w:t xml:space="preserve">Frontend do Protótipo V1: </w:t>
      </w:r>
      <w:hyperlink r:id="rId11">
        <w:r>
          <w:rPr>
            <w:rFonts w:ascii="Arial" w:hAnsi="Arial"/>
            <w:color w:val="000000"/>
            <w:u w:val="single"/>
          </w:rPr>
          <w:t>https://caderno-inteligente-grupo8.vercel.app</w:t>
        </w:r>
      </w:hyperlink>
    </w:p>
    <w:p>
      <w:r>
        <w:rPr>
          <w:rFonts w:ascii="Arial" w:hAnsi="Arial" w:eastAsia="Arial"/>
          <w:b/>
          <w:color w:val="000000"/>
        </w:rPr>
        <w:t xml:space="preserve">Documentação interativa da API: </w:t>
      </w:r>
      <w:hyperlink r:id="rId12">
        <w:r>
          <w:rPr>
            <w:rFonts w:ascii="Arial" w:hAnsi="Arial"/>
            <w:color w:val="000000"/>
            <w:u w:val="single"/>
          </w:rPr>
          <w:t>https://caderno-inteligente-five.vercel.app/docs</w:t>
        </w:r>
      </w:hyperlink>
    </w:p>
    <w:p>
      <w:r>
        <w:rPr>
          <w:rFonts w:ascii="Arial" w:hAnsi="Arial" w:eastAsia="Arial"/>
          <w:b/>
          <w:color w:val="000000"/>
        </w:rPr>
        <w:t xml:space="preserve">Repositório do projeto: </w:t>
      </w:r>
      <w:hyperlink r:id="rId13">
        <w:r>
          <w:rPr>
            <w:rFonts w:ascii="Arial" w:hAnsi="Arial"/>
            <w:color w:val="000000"/>
            <w:u w:val="single"/>
          </w:rPr>
          <w:t>https://github.com/omaurosantos/caderno-inteligente</w:t>
        </w:r>
      </w:hyperlink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1.2 Síntese do funcionamento</w:t>
      </w:r>
    </w:p>
    <w:p>
      <w:pPr>
        <w:pStyle w:val="ListNumber"/>
        <w:spacing w:after="80" w:line="264" w:lineRule="auto"/>
        <w:ind w:left="397" w:hanging="170"/>
      </w:pPr>
      <w:r>
        <w:rPr>
          <w:rFonts w:ascii="Arial" w:hAnsi="Arial" w:eastAsia="Arial"/>
          <w:color w:val="000000"/>
        </w:rPr>
        <w:t>A planilha de origem é lida sem ser modificada.</w:t>
      </w:r>
    </w:p>
    <w:p>
      <w:pPr>
        <w:pStyle w:val="ListNumber"/>
        <w:spacing w:after="80" w:line="264" w:lineRule="auto"/>
        <w:ind w:left="397" w:hanging="170"/>
      </w:pPr>
      <w:r>
        <w:rPr>
          <w:rFonts w:ascii="Arial" w:hAnsi="Arial" w:eastAsia="Arial"/>
          <w:color w:val="000000"/>
        </w:rPr>
        <w:t>A qualidade, a estrutura e os dados ausentes são avaliados.</w:t>
      </w:r>
    </w:p>
    <w:p>
      <w:pPr>
        <w:pStyle w:val="ListNumber"/>
        <w:spacing w:after="80" w:line="264" w:lineRule="auto"/>
        <w:ind w:left="397" w:hanging="170"/>
      </w:pPr>
      <w:r>
        <w:rPr>
          <w:rFonts w:ascii="Arial" w:hAnsi="Arial" w:eastAsia="Arial"/>
          <w:color w:val="000000"/>
        </w:rPr>
        <w:t>Os dados são consolidados em indicadores por SKU.</w:t>
      </w:r>
    </w:p>
    <w:p>
      <w:pPr>
        <w:pStyle w:val="ListNumber"/>
        <w:spacing w:after="80" w:line="264" w:lineRule="auto"/>
        <w:ind w:left="397" w:hanging="170"/>
      </w:pPr>
      <w:r>
        <w:rPr>
          <w:rFonts w:ascii="Arial" w:hAnsi="Arial" w:eastAsia="Arial"/>
          <w:color w:val="000000"/>
        </w:rPr>
        <w:t>Regras determinísticas produzem sinais operacionais e evidências.</w:t>
      </w:r>
    </w:p>
    <w:p>
      <w:pPr>
        <w:pStyle w:val="ListNumber"/>
        <w:spacing w:after="80" w:line="264" w:lineRule="auto"/>
        <w:ind w:left="397" w:hanging="170"/>
      </w:pPr>
      <w:r>
        <w:rPr>
          <w:rFonts w:ascii="Arial" w:hAnsi="Arial" w:eastAsia="Arial"/>
          <w:color w:val="000000"/>
        </w:rPr>
        <w:t>Os pesos das regras formam o score e o ranking de atenção.</w:t>
      </w:r>
    </w:p>
    <w:p>
      <w:pPr>
        <w:pStyle w:val="ListNumber"/>
        <w:spacing w:after="80" w:line="264" w:lineRule="auto"/>
        <w:ind w:left="397" w:hanging="170"/>
      </w:pPr>
      <w:r>
        <w:rPr>
          <w:rFonts w:ascii="Arial" w:hAnsi="Arial" w:eastAsia="Arial"/>
          <w:color w:val="000000"/>
        </w:rPr>
        <w:t>Dois modelos de previsão são comparados para cada SKU.</w:t>
      </w:r>
    </w:p>
    <w:p>
      <w:pPr>
        <w:pStyle w:val="ListNumber"/>
        <w:spacing w:after="80" w:line="264" w:lineRule="auto"/>
        <w:ind w:left="397" w:hanging="170"/>
      </w:pPr>
      <w:r>
        <w:rPr>
          <w:rFonts w:ascii="Arial" w:hAnsi="Arial" w:eastAsia="Arial"/>
          <w:color w:val="000000"/>
        </w:rPr>
        <w:t>A previsão escolhida alimenta uma recomendação quantitativa transparente.</w:t>
      </w:r>
    </w:p>
    <w:p>
      <w:pPr>
        <w:pStyle w:val="ListNumber"/>
        <w:spacing w:after="80" w:line="264" w:lineRule="auto"/>
        <w:ind w:left="397" w:hanging="170"/>
      </w:pPr>
      <w:r>
        <w:rPr>
          <w:rFonts w:ascii="Arial" w:hAnsi="Arial" w:eastAsia="Arial"/>
          <w:color w:val="000000"/>
        </w:rPr>
        <w:t>O usuário revisa a recomendação e pode registrar casos, decisões e feedbacks.</w:t>
      </w:r>
    </w:p>
    <w:p>
      <w:pPr>
        <w:pStyle w:val="Heading1"/>
        <w:keepNext/>
        <w:pageBreakBefore w:val="0"/>
      </w:pPr>
      <w:r>
        <w:rPr>
          <w:rFonts w:ascii="Arial" w:hAnsi="Arial" w:eastAsia="Arial"/>
          <w:color w:val="000000"/>
        </w:rPr>
        <w:t>2 Protótipo V1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O primeiro protótipo está publicado e demonstra o fluxo principal da solução. Na base atual, a aplicação monitora 50 SKUs, dos quais 41 aparecem no ranking oficial. Os valores mudam quando a fonte é atualizada e não devem ser interpretados como resultados permanentes.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2.1 Função principal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Organizar os SKUs por necessidade de atenção, explicar por que cada item foi priorizado e apoiar a decisão operacional com previsão de demanda, recomendação quantitativa, confiança e limitações explícitas.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2.2 Funcionalidades demonstráveis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Visão geral com indicadores da operação e distribuição dos sinais.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Ranking oficial com score, confiança, motivos e evidências.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Detalhe do SKU com estoque, carteira, produção, datas e origem dos dados.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Previsão mensal para os próximos três meses e classificação de tendência.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Seleção automática do modelo com menor erro no backtest temporal.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Recomendação operacional com estoque de segurança e lote mínimo.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Filtros e ordenações na visão consolidada de previsão e recomendação.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Qualidade dos dados e cobertura de sell-out.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Visibilidade B2B2C por parceiro.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Simulação de pesos sem alterar o ranking oficial.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Casos operacionais, snapshots auditáveis e registro de decisões.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Guia de uso para facilitar o onboarding e a demonstração.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2.3 Interpretação do ranking e da recomendação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O ranking indica qual SKU deve ser analisado primeiro. A recomendação avalia se existe necessidade de volume adicional para o próximo ciclo. Portanto, um SKU pode ter prioridade alta e quantidade sugerida igual a zero quando a produção já aberta cobre a demanda, mas ainda existem riscos de prazo, capacidade ou qualidade dos dados.</w:t>
      </w:r>
    </w:p>
    <w:p>
      <w:pPr>
        <w:pStyle w:val="Heading1"/>
        <w:keepNext/>
        <w:pageBreakBefore w:val="0"/>
      </w:pPr>
      <w:r>
        <w:rPr>
          <w:rFonts w:ascii="Arial" w:hAnsi="Arial" w:eastAsia="Arial"/>
          <w:color w:val="000000"/>
        </w:rPr>
        <w:t>3 Modelo de IA e justificativa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O componente de inteligência é um modelo preditivo estatístico. Ele estima a demanda mensal de cada SKU para os próximos três meses a partir do histórico de quantidade faturada. A solução não utiliza IA generativa para calcular a demanda.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3.1 Modelos comparados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Média móvel de três meses, sensível ao comportamento recente da demanda.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Sazonal ingênuo de doze meses, que utiliza o comportamento do mesmo mês do ano anterior.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3.2 Validação e seleção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Os três últimos meses conhecidos são separados como holdout temporal. Cada candidato prevê esses meses sem utilizá-los no ajuste. O erro é medido pelo WAPE e o modelo com menor erro é escolhido para o SKU. Após a seleção, o sistema calcula os três meses futuros usando todo o histórico disponível.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3.3 Justificativa técnica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A base possui somente 24 meses de histórico.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Os modelos são simples, rápidos e auditáveis.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Existe uma referência objetiva para comparação por SKU.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O backtest temporal reduz o risco de escolher o modelo apenas pela aparência do ajuste.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Modelos mais complexos aumentariam o risco de overfitting sem evidência de ganho nesta etapa.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3.4 Confiança da previsão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FBFBF"/>
          <w:left w:val="single" w:sz="5" w:color="BFBFBF"/>
          <w:bottom w:val="single" w:sz="5" w:color="BFBFBF"/>
          <w:right w:val="single" w:sz="5" w:color="BFBFBF"/>
          <w:insideH w:val="single" w:sz="5" w:color="BFBFBF"/>
          <w:insideV w:val="single" w:sz="5" w:color="BFBFBF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5953"/>
            <w:shd w:fill="E7E6E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Condição</w:t>
            </w:r>
          </w:p>
        </w:tc>
        <w:tc>
          <w:tcPr>
            <w:tcW w:type="dxa" w:w="3118"/>
            <w:shd w:fill="E7E6E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Classificação</w:t>
            </w:r>
          </w:p>
        </w:tc>
      </w:tr>
      <w:tr>
        <w:tc>
          <w:tcPr>
            <w:tcW w:type="dxa" w:w="595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WAPE até 20 por cento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595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WAPE acima de 20 e até 40 por cento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Média</w:t>
            </w:r>
          </w:p>
        </w:tc>
      </w:tr>
      <w:tr>
        <w:tc>
          <w:tcPr>
            <w:tcW w:type="dxa" w:w="595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WAPE acima de 40 por cento ou indisponível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Baixa</w:t>
            </w:r>
          </w:p>
        </w:tc>
      </w:tr>
      <w:tr>
        <w:tc>
          <w:tcPr>
            <w:tcW w:type="dxa" w:w="595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Histórico menor que seis meses</w:t>
            </w:r>
          </w:p>
        </w:tc>
        <w:tc>
          <w:tcPr>
            <w:tcW w:type="dxa" w:w="311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Dados insuficientes, sem previsão inventada</w:t>
            </w:r>
          </w:p>
        </w:tc>
      </w:tr>
    </w:tbl>
    <w:p>
      <w:pPr>
        <w:spacing w:after="0"/>
      </w:pP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A confiança representa o desempenho observado no holdout e não constitui garantia sobre o futuro. A recomendação reduz a confiança quando não existe sell-out observado ou quando há pressão de capacidade.</w:t>
      </w:r>
    </w:p>
    <w:p>
      <w:pPr>
        <w:pStyle w:val="Heading1"/>
        <w:keepNext/>
        <w:pageBreakBefore w:val="0"/>
      </w:pPr>
      <w:r>
        <w:rPr>
          <w:rFonts w:ascii="Arial" w:hAnsi="Arial" w:eastAsia="Arial"/>
          <w:color w:val="000000"/>
        </w:rPr>
        <w:t>4 Recomendação operacional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A recomendação para o próximo mês utiliza as seguintes relações:</w:t>
      </w:r>
    </w:p>
    <w:p>
      <w:pPr>
        <w:keepLines/>
        <w:spacing w:after="60"/>
        <w:ind w:left="567"/>
      </w:pPr>
      <w:r>
        <w:rPr>
          <w:rFonts w:ascii="Arial" w:hAnsi="Arial" w:eastAsia="Arial"/>
          <w:b/>
          <w:color w:val="000000"/>
          <w:sz w:val="20"/>
        </w:rPr>
        <w:t>Demanda a cobrir = máximo entre previsão do próximo mês e carteira</w:t>
      </w:r>
    </w:p>
    <w:p>
      <w:pPr>
        <w:keepLines/>
        <w:spacing w:after="60"/>
        <w:ind w:left="567"/>
      </w:pPr>
      <w:r>
        <w:rPr>
          <w:rFonts w:ascii="Arial" w:hAnsi="Arial" w:eastAsia="Arial"/>
          <w:b/>
          <w:color w:val="000000"/>
          <w:sz w:val="20"/>
        </w:rPr>
        <w:t>Estoque de segurança = venda média diária × dias de segurança</w:t>
      </w:r>
    </w:p>
    <w:p>
      <w:pPr>
        <w:keepLines/>
        <w:spacing w:after="60"/>
        <w:ind w:left="567"/>
      </w:pPr>
      <w:r>
        <w:rPr>
          <w:rFonts w:ascii="Arial" w:hAnsi="Arial" w:eastAsia="Arial"/>
          <w:b/>
          <w:color w:val="000000"/>
          <w:sz w:val="20"/>
        </w:rPr>
        <w:t>Necessidade bruta = máximo entre zero e demanda a cobrir + segurança - estoque atual - produção aberta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A necessidade positiva é arredondada para cima conforme o lote mínimo. Previsão e carteira não são somadas, pois podem representar a mesma demanda. A capacidade por família é apresentada como alerta de validação e não limita ou confirma automaticamente uma ordem individual.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Quantidades negativas são convertidas em zero.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Dado ausente não é convertido em demanda zero.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A quantidade sugerida não representa uma ordem liberada.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Toda recomendação exige revisão humana comercial e operacional.</w:t>
      </w:r>
    </w:p>
    <w:p>
      <w:pPr>
        <w:pStyle w:val="Heading1"/>
        <w:keepNext/>
        <w:pageBreakBefore w:val="0"/>
      </w:pPr>
      <w:r>
        <w:rPr>
          <w:rFonts w:ascii="Arial" w:hAnsi="Arial" w:eastAsia="Arial"/>
          <w:color w:val="000000"/>
        </w:rPr>
        <w:t>5 Arquitetura da solução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A arquitetura separa processamento, interface e persistência. Essa divisão permite manter as regras e os cálculos no backend, evitar a exposição de credenciais e publicar frontend e API como projetos independentes.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5.1 Fluxo arquitetural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FBFBF"/>
          <w:left w:val="single" w:sz="5" w:color="BFBFBF"/>
          <w:bottom w:val="single" w:sz="5" w:color="BFBFBF"/>
          <w:right w:val="single" w:sz="5" w:color="BFBFBF"/>
          <w:insideH w:val="single" w:sz="5" w:color="BFBFBF"/>
          <w:insideV w:val="single" w:sz="5" w:color="BFBFBF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907"/>
            <w:shd w:fill="E7E6E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Etapa</w:t>
            </w:r>
          </w:p>
        </w:tc>
        <w:tc>
          <w:tcPr>
            <w:tcW w:type="dxa" w:w="2438"/>
            <w:shd w:fill="E7E6E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Componente</w:t>
            </w:r>
          </w:p>
        </w:tc>
        <w:tc>
          <w:tcPr>
            <w:tcW w:type="dxa" w:w="5726"/>
            <w:shd w:fill="E7E6E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Responsabilidade</w:t>
            </w:r>
          </w:p>
        </w:tc>
      </w:tr>
      <w:tr>
        <w:tc>
          <w:tcPr>
            <w:tcW w:type="dxa" w:w="9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Fonte XLSM</w:t>
            </w:r>
          </w:p>
        </w:tc>
        <w:tc>
          <w:tcPr>
            <w:tcW w:type="dxa" w:w="57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Dados operacionais somente leitura</w:t>
            </w:r>
          </w:p>
        </w:tc>
      </w:tr>
      <w:tr>
        <w:tc>
          <w:tcPr>
            <w:tcW w:type="dxa" w:w="9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Núcleo Python</w:t>
            </w:r>
          </w:p>
        </w:tc>
        <w:tc>
          <w:tcPr>
            <w:tcW w:type="dxa" w:w="57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Ingestão, validação, indicadores, regras, ranking, forecast e recomendação</w:t>
            </w:r>
          </w:p>
        </w:tc>
      </w:tr>
      <w:tr>
        <w:tc>
          <w:tcPr>
            <w:tcW w:type="dxa" w:w="9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3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FastAPI</w:t>
            </w:r>
          </w:p>
        </w:tc>
        <w:tc>
          <w:tcPr>
            <w:tcW w:type="dxa" w:w="57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Contratos JSON, cache do pipeline e documentação Swagger</w:t>
            </w:r>
          </w:p>
        </w:tc>
      </w:tr>
      <w:tr>
        <w:tc>
          <w:tcPr>
            <w:tcW w:type="dxa" w:w="9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React e Vite</w:t>
            </w:r>
          </w:p>
        </w:tc>
        <w:tc>
          <w:tcPr>
            <w:tcW w:type="dxa" w:w="57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Interface, filtros, evidências e revisão humana</w:t>
            </w:r>
          </w:p>
        </w:tc>
      </w:tr>
      <w:tr>
        <w:tc>
          <w:tcPr>
            <w:tcW w:type="dxa" w:w="9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5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Supabase PostgreSQL</w:t>
            </w:r>
          </w:p>
        </w:tc>
        <w:tc>
          <w:tcPr>
            <w:tcW w:type="dxa" w:w="57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Casos, feedbacks e execuções auditáveis</w:t>
            </w:r>
          </w:p>
        </w:tc>
      </w:tr>
      <w:tr>
        <w:tc>
          <w:tcPr>
            <w:tcW w:type="dxa" w:w="90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6</w:t>
            </w:r>
          </w:p>
        </w:tc>
        <w:tc>
          <w:tcPr>
            <w:tcW w:type="dxa" w:w="243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Vercel</w:t>
            </w:r>
          </w:p>
        </w:tc>
        <w:tc>
          <w:tcPr>
            <w:tcW w:type="dxa" w:w="572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Publicação separada do frontend e do backend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5.2 Componentes e integrações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FBFBF"/>
          <w:left w:val="single" w:sz="5" w:color="BFBFBF"/>
          <w:bottom w:val="single" w:sz="5" w:color="BFBFBF"/>
          <w:right w:val="single" w:sz="5" w:color="BFBFBF"/>
          <w:insideH w:val="single" w:sz="5" w:color="BFBFBF"/>
          <w:insideV w:val="single" w:sz="5" w:color="BFBFBF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2835"/>
            <w:shd w:fill="E7E6E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Componente</w:t>
            </w:r>
          </w:p>
        </w:tc>
        <w:tc>
          <w:tcPr>
            <w:tcW w:type="dxa" w:w="6236"/>
            <w:shd w:fill="E7E6E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Responsabilidade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Ingestão e validação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Leitura da fonte, verificação de estrutura, tipos, duplicidades e ausências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Indicadores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Consolidação do contexto operacional por SKU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Regras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Sinais determinísticos, severidade, valores e origem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Priorização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Soma de pesos configuráveis e ranking oficial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Forecasting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Backtest, seleção do modelo, tendência e previsão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Recomendação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Conciliação de demanda, segurança, estoque, produção e lote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FastAPI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Rotas, cache por assinatura dos arquivos e Swagger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React e Vite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Interface responsiva e explicabilidade</w:t>
            </w:r>
          </w:p>
        </w:tc>
      </w:tr>
      <w:t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Supabase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Persistência de interações e auditoria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Arial" w:hAnsi="Arial" w:eastAsia="Arial"/>
          <w:color w:val="000000"/>
        </w:rPr>
        <w:t>6 Entrada e processamento dos dados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6.1 Origem dos dados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O Protótipo V1 utiliza a planilha XLSM disponibilizada para o desafio. A fonte reúne cadastro de produtos, estoque atual, estoque de segurança, carteira de pedidos, datas prometidas, ordens de produção, conclusão prevista, histórico de vendas, sell-in, sell-out e capacidade semanal por família.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6.2 Processamento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Validação de abas, colunas e tipos esperados.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Verificação de chaves, duplicidades e referências órfãs.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Padronização de SKU, datas e campos numéricos.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Agregação de estoque, carteira, produção e vendas por SKU.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Preservação de dados não observados como valores ausentes.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Preenchimento com zero apenas para meses sem faturamento dentro de uma série já observada.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Cálculo de indicadores, regras, ranking, previsão e recomendação.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Cache invalidado quando a fonte ou as configurações são modificadas.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6.3 Rastreabilidade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No detalhe do SKU, a aplicação expõe regra acionada, severidade, valores utilizados, origem dos campos, contribuição para o score, confiança e limitações. Essa estrutura permite revisar o resultado sem tratar o modelo como uma caixa-preta.</w:t>
      </w:r>
    </w:p>
    <w:p>
      <w:pPr>
        <w:pStyle w:val="Heading1"/>
        <w:keepNext/>
        <w:pageBreakBefore w:val="0"/>
      </w:pPr>
      <w:r>
        <w:rPr>
          <w:rFonts w:ascii="Arial" w:hAnsi="Arial" w:eastAsia="Arial"/>
          <w:color w:val="000000"/>
        </w:rPr>
        <w:t>7 Fluxo de dados e retroalimentação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O fluxo parte da fonte operacional, passa por validação, indicadores, regras, previsão e recomendação e termina na análise humana. O usuário pode criar casos, registrar decisões, informar como o dado do parceiro influenciou a análise e registrar o tempo gasto.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Decisão aceita, alterada, rejeitada ou encaminhada para investigação.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Observação, responsável e prazo do caso.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Influência declarada do dado do parceiro.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Tempo de análise.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Snapshot da fonte, parâmetros e ranking.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No V1, os feedbacks não retreinam nem alteram automaticamente o modelo. Essa separação evita aprendizado silencioso a partir de poucas decisões. Em uma evolução, feedbacks revisados poderão orientar recalibração de limiares, análise de aceitação e comparação de modelos.</w:t>
      </w:r>
    </w:p>
    <w:p>
      <w:pPr>
        <w:pStyle w:val="Heading1"/>
        <w:keepNext/>
        <w:pageBreakBefore w:val="0"/>
      </w:pPr>
      <w:r>
        <w:rPr>
          <w:rFonts w:ascii="Arial" w:hAnsi="Arial" w:eastAsia="Arial"/>
          <w:color w:val="000000"/>
        </w:rPr>
        <w:t>8 Segurança e privacidade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A planilha de origem é utilizada somente para leitura.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A conexão com o Supabase e suas credenciais existem apenas no backend.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O frontend recebe somente o endereço público da API.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Dados ausentes são preservados e sinalizados.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Regras e pesos são configurados fora do código principal.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Feedbacks e decisões ficam separados da fonte original.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Snapshots apoiam auditoria e reprodução da análise.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Nenhuma recomendação cria ou libera produção automaticamente.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A base atual é demonstrativa e não contém dados pessoais reais.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O protótipo ainda não possui autenticação ou perfis de acesso. Antes do uso com dados reais, serão necessárias autenticação, autorização, políticas de retenção, registro de acesso e revisão de eventuais dados sensíveis.</w:t>
      </w:r>
    </w:p>
    <w:p>
      <w:pPr>
        <w:pStyle w:val="Heading1"/>
        <w:keepNext/>
        <w:pageBreakBefore w:val="0"/>
      </w:pPr>
      <w:r>
        <w:rPr>
          <w:rFonts w:ascii="Arial" w:hAnsi="Arial" w:eastAsia="Arial"/>
          <w:color w:val="000000"/>
        </w:rPr>
        <w:t>9 Limitações técnicas identificadas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Apenas 24 meses de histórico para previsão.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Forecast global por SKU, sem região ou parceiro.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Promoções, preço, feriados e campanhas futuras não entram como variáveis causais.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Capacidade agregada por família e semana, sem garantia por SKU.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Ausência de vínculo individual entre pedido e ordem de produção.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Carteira e forecast podem representar horizontes comerciais diferentes.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WAPE indisponível quando a demanda real do holdout soma zero.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A classificação pode evoluir para separar sem produção adicional de sem ação operacional.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Previsões em cache e sem versionamento persistente no V1.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Ausência de autenticação nesta etapa do protótipo.</w:t>
      </w:r>
    </w:p>
    <w:p>
      <w:pPr>
        <w:pStyle w:val="ListBullet"/>
        <w:spacing w:after="60" w:line="264" w:lineRule="auto"/>
        <w:ind w:left="369" w:hanging="142"/>
      </w:pPr>
      <w:r>
        <w:rPr>
          <w:rFonts w:ascii="Arial" w:hAnsi="Arial" w:eastAsia="Arial"/>
          <w:color w:val="000000"/>
        </w:rPr>
        <w:t>Necessidade de validação com especialistas e dados reais.</w:t>
      </w:r>
    </w:p>
    <w:p>
      <w:pPr>
        <w:pStyle w:val="Heading1"/>
        <w:keepNext/>
        <w:pageBreakBefore w:val="0"/>
      </w:pPr>
      <w:r>
        <w:rPr>
          <w:rFonts w:ascii="Arial" w:hAnsi="Arial" w:eastAsia="Arial"/>
          <w:color w:val="000000"/>
        </w:rPr>
        <w:t>10 Respostas às perguntas da Semana 3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Como a solução funciona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A solução consolida dados operacionais, valida a qualidade, cria indicadores por SKU, aplica regras explicáveis, gera um ranking, escolhe um modelo de previsão por backtest e calcula uma sugestão quantitativa para revisão humana.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Quais funções já podem ser demonstradas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Visão geral, ranking, detalhe e evidências, previsão de três meses, recomendação, filtros, qualidade dos dados, B2B2C, casos, cenários, execuções, feedback e guia de uso.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Qual modelo será utilizado e por quê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Para cada SKU, o sistema escolhe entre média móvel de três meses e sazonal ingênuo de doze meses. A seleção usa o menor WAPE em um holdout temporal de três meses. Os modelos são compatíveis com o histórico curto, rápidos e auditáveis.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De onde vêm os dados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Da planilha XLSM do desafio, com cadastro de produtos, estoque, carteira, ordens de produção, histórico de vendas, sell-in, sell-out e capacidade semanal.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Como os dados serão utilizados e retroalimentados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Os dados geram indicadores, regras, ranking, previsão e recomendação. Casos, decisões, influência do parceiro e tempo de análise são armazenados separadamente. Não existe retreinamento automático no V1.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color w:val="000000"/>
        </w:rPr>
        <w:t>Quais limitações técnicas já apareceram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Histórico curto, dados demonstrativos, baixa cobertura de sell-out, capacidade agregada, ausência de vínculo pedido e ordem, falta de variáveis causais e ausência de autenticação.</w:t>
      </w:r>
    </w:p>
    <w:p>
      <w:pPr>
        <w:pStyle w:val="Heading1"/>
        <w:keepNext/>
        <w:pageBreakBefore/>
      </w:pPr>
      <w:r>
        <w:rPr>
          <w:rFonts w:ascii="Arial" w:hAnsi="Arial" w:eastAsia="Arial"/>
          <w:color w:val="000000"/>
        </w:rPr>
        <w:t>11 Atendimento aos critérios de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FBFBF"/>
          <w:left w:val="single" w:sz="5" w:color="BFBFBF"/>
          <w:bottom w:val="single" w:sz="5" w:color="BFBFBF"/>
          <w:right w:val="single" w:sz="5" w:color="BFBFBF"/>
          <w:insideH w:val="single" w:sz="5" w:color="BFBFBF"/>
          <w:insideV w:val="single" w:sz="5" w:color="BFBFBF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2324"/>
            <w:shd w:fill="E7E6E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Critério</w:t>
            </w:r>
          </w:p>
        </w:tc>
        <w:tc>
          <w:tcPr>
            <w:tcW w:type="dxa" w:w="4252"/>
            <w:shd w:fill="E7E6E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Atendimento</w:t>
            </w:r>
          </w:p>
        </w:tc>
        <w:tc>
          <w:tcPr>
            <w:tcW w:type="dxa" w:w="2494"/>
            <w:shd w:fill="E7E6E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19"/>
              </w:rPr>
              <w:t>Evidência</w:t>
            </w:r>
          </w:p>
        </w:tc>
      </w:tr>
      <w:t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01 Modelo de IA e justificativa</w:t>
            </w:r>
          </w:p>
        </w:tc>
        <w:tc>
          <w:tcPr>
            <w:tcW w:type="dxa" w:w="42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Comparação de dois modelos, holdout temporal, WAPE e justificativa compatível com 24 meses de histórico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Previsão e recomendações; detalhe do SKU</w:t>
            </w:r>
          </w:p>
        </w:tc>
      </w:tr>
      <w:t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02 Arquitetura da solução</w:t>
            </w:r>
          </w:p>
        </w:tc>
        <w:tc>
          <w:tcPr>
            <w:tcW w:type="dxa" w:w="42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Frontend, API, núcleo Python, fonte somente leitura, cache, Supabase e Vercel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Swagger público; arquitetura documentada</w:t>
            </w:r>
          </w:p>
        </w:tc>
      </w:tr>
      <w:t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03 Fluxo de dados e retroalimentação</w:t>
            </w:r>
          </w:p>
        </w:tc>
        <w:tc>
          <w:tcPr>
            <w:tcW w:type="dxa" w:w="42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Origem, validação, indicadores, regras, previsão, decisão e feedback separado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Qualidade; Casos; Execuções; Decisões</w:t>
            </w:r>
          </w:p>
        </w:tc>
      </w:tr>
      <w:tr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04 Protótipo V1 e função principal</w:t>
            </w:r>
          </w:p>
        </w:tc>
        <w:tc>
          <w:tcPr>
            <w:tcW w:type="dxa" w:w="42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Ranking explicável, forecast, recomendação, filtros e evidências</w:t>
            </w:r>
          </w:p>
        </w:tc>
        <w:tc>
          <w:tcPr>
            <w:tcW w:type="dxa" w:w="24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Frontend publicado e funcional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rPr>
          <w:rFonts w:ascii="Arial" w:hAnsi="Arial" w:eastAsia="Arial"/>
          <w:color w:val="000000"/>
        </w:rPr>
        <w:t>12 Conclusão</w:t>
      </w:r>
    </w:p>
    <w:p>
      <w:pPr>
        <w:spacing w:after="120" w:line="276" w:lineRule="auto"/>
      </w:pPr>
      <w:r>
        <w:rPr>
          <w:rFonts w:ascii="Arial" w:hAnsi="Arial" w:eastAsia="Arial"/>
          <w:color w:val="000000"/>
        </w:rPr>
        <w:t>O Protótipo V1 demonstra o fluxo de valor da Semana 3: os dados são validados, os riscos são priorizados, a demanda é prevista com comparação objetiva de modelos e a recomendação é explicada para revisão humana. A arquitetura preserva a fonte, mantém credenciais no backend e separa cálculos, interface e persistência. As limitações documentadas orientam a validação da Semana 4, que deverá medir WAPE, aceitação das recomendações, tempo de análise e falsos alertas com participação dos especialistas.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/>
        <w:color w:val="000000"/>
        <w:sz w:val="16"/>
      </w:rPr>
      <w:t>Semana 3  |  Protótipo V1 e arquitetura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color w:val="000000"/>
        <w:sz w:val="16"/>
      </w:rPr>
      <w:t>Caderno Inteligente  |  Grupo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aderno-inteligente-grupo8.vercel.app" TargetMode="External"/><Relationship Id="rId12" Type="http://schemas.openxmlformats.org/officeDocument/2006/relationships/hyperlink" Target="https://caderno-inteligente-five.vercel.app/docs" TargetMode="External"/><Relationship Id="rId13" Type="http://schemas.openxmlformats.org/officeDocument/2006/relationships/hyperlink" Target="https://github.com/omaurosantos/caderno-inteligen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da Semana 3 Protótipo V1 e Arquitetura</dc:title>
  <dc:subject>Caderno Inteligente Grupo 8</dc:subject>
  <dc:creator>Grupo 8</dc:creator>
  <cp:keywords>Semana 3, Protótipo V1, Arquitetura, Dados, 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