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4" w:top="1701" w:left="1701" w:right="1134" w:header="720" w:footer="720"/>
          <w:pgNumType w:start="1"/>
        </w:sectPr>
      </w:pPr>
      <w:bookmarkStart w:colFirst="0" w:colLast="0" w:name="_92i952h7ain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Guia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ITA Challenge | Caderno Inteligente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Grupo 8 | Semana 1 | Diagnóstico do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after="360" w:before="3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DIAGNÓSTICO EM SÍNTESE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desafio apresentado pelo Caderno Inteligente está relacionado com  a produção e abastecimento para diferentes canais com tempos de resposta distintos, que hoje carecem de uma visão integrada da demanda, dos compromissos assumidos e do estoque distribuído na cadeia. Os dados da base indicam duas consequências: pedidos com data prometida sem plano de produção correspondente e capital imobilizado em produtos de giro lento. A oportunidade de melhoria está na conciliação dessas informações no momento em que o PCP define a prioridade da semana.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números resumem o diagnóstico feito pelo grupo. Em 32 dos 40 SKUs com pedido em carteira não há ordem de produção aberta ou a ordem tem conclusão prevista para depois da data prometida ao cliente. Seis produtos concentram R$760 mil em estoque com 110 dias de cobertura, enquanto outros quinze podem faltar antes da reposição. A informação de venda ao consumidor final cobre 20% da matriz de parceiros e produtos.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spacing w:after="360" w:before="3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RESPOSTAS ÀS PERGUNTAS DA SEMANA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spacing w:after="360" w:before="3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2.1 Qual decisão precisa melhorar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PCP define a cada semana o que produzir, quanto produzir e quando cada SKU precisa estar disponível para cada canal. A empresa informa que essa consolidação consome 22 horas semanais de trabalho manual, a partir de dados de demanda, pedidos, estoque, ordens e capacidade mantidos em fontes separadas.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spacing w:after="360" w:before="3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2.2 Quem é impactado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PCP toma a decisão. O Comercial assume prazos que a produção não confirma e os parceiros convivem com falta e sobra dos mesmos produtos. A Diretoria absorve o custo do capital imobilizado e da venda não realizada.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spacing w:after="360" w:before="3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2.3 Quais evidências mostram que o problema existe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32 dos 40 SKUs com pedido em carteira, a base não registra ordem de produção aberta ou registra ordem com conclusão posterior à data prometida ao cliente. Ao mesmo tempo, quinze produtos apresentam cobertura inferior ao lead time e outros seis acumulam 110 dias de estoque. A informação de venda ao consumidor cobre 20% da matriz de parceiros e produtos.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360" w:before="3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2.4 Qual o impacto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empresa atende 89% dos pedidos no prazo e tem meta de 96%. Mantém R$760 mil em estoque de seis produtos de giro lento. A linha Escolar operou acima de 90% de ocupação em treze das dezesseis semanas analisadas, o que faz cada novo pedido concorrer com os já programados.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spacing w:after="360" w:before="3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2.5 Qual recorte cabe no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agora o grupo deverá investigar os quinze SKUs que reúnem risco de estoque e falha de plano de produção ao mesmo tempo, identificados entre os cinquenta da base. Esse conjunto concentra o problema e permite medir a evolução em cinco semanas.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spacing w:after="360" w:before="3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2.6 O que fica fora do protótipo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ora, o grupo não definirá solução, modelo de dados e inteligência artificial ou arquitetura nesta etapa. Também não integrará sistemas de parceiros, não negociará condições comerciais e não automatizará a decisão do PCP.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360" w:before="3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 FUNDAMENTAÇÃO DO DIAGNÓSTICO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números desta entrega foram apurados diretamente da base fornecida, por meio de notebook reprodutível anexo. Cada evidência registra a aba de origem, o critério aplicado e as linhas que a sustentam. Os indicadores informados pela empresa que o grupo não consegue recalcular estão identificados como tais.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spacing w:after="360" w:before="3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3.1 A cadeia e a etapa que reduz a visibilidade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cadeia percorre produção, estoque do Caderno Inteligente, parceiro ou distribuidor e consumidor final. Nos canais diretos, a empresa observa a compra do consumidor e repõe próximo à venda. Nos canais parceiros, ela observa a saída para o parceiro e perde o acompanhamento do produto a partir daí. O parceiro ainda recebe a mercadoria, distribui para lojas ou centros regionais e posiciona estoque, e esse percurso consome semanas. O planejamento atual trata os dois canais com a mesma régua de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spacing w:after="360" w:before="3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3.2 Os sinais que o PCP precisa combinar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definir a produção da semana, o PCP concilia informações de naturezas diferentes: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709" w:hanging="280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venda faturada e sell-in, que registram a saída para o parceiro e não o consumo final;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709" w:hanging="280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sell-out, disponível para cinco parceiros, em dez produtos cada;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709" w:hanging="280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estoque no centro de distribuição, conhecido, e estoque no parceiro, estimado;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709" w:hanging="280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carteira de pedidos com datas prometidas ao cliente;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709" w:hanging="280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forecast comercial, com 31% de erro médio informado pela empresa;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709" w:hanging="280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f) ordens abertas, lead time, lote mínimo e capacidade por família;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709" w:hanging="280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g) calendário de eventos e sazonalidade.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Nenhum desses sinais responde isoladamente à pergunta do PCP. A decisão exige cruzá-los por produto, canal e data, e hoje esse cruzamento é feito em planilha.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spacing w:after="360" w:before="3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3.3 Evidências apuradas na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spacing w:after="60" w:before="360" w:lineRule="auto"/>
        <w:jc w:val="cente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Quadro 1 – Evidências apuradas na base de dados do desafio</w:t>
      </w:r>
      <w:r w:rsidDel="00000000" w:rsidR="00000000" w:rsidRPr="00000000">
        <w:rPr>
          <w:rtl w:val="0"/>
        </w:rPr>
      </w:r>
    </w:p>
    <w:tbl>
      <w:tblPr>
        <w:tblStyle w:val="Table1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5270"/>
        <w:gridCol w:w="2500"/>
        <w:tblGridChange w:id="0">
          <w:tblGrid>
            <w:gridCol w:w="1300"/>
            <w:gridCol w:w="5270"/>
            <w:gridCol w:w="250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Critério aplicado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Carteira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SKUs com pedido e sem ordem de produção aberta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 de 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Carteira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SKUs com ordem que conclui depois da data prometida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 de 40, atraso mediano de 10 dias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Ruptura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Cobertura de estoque inferior ao lead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 de 50 SKUs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Ruptura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Cobertura inferior ao estoque de 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 de 50 SKUs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Ruptura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Estoque somado às ordens não cobre a carteira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de 50 SKUs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Cobertura acima de 90 dias, todos em 110 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de 50 SKUs, R$ 760 mil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Capacidade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Ocupação média da linha Escolar em 16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93,2%, acima de 90% em 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B2B2C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Cobertura de sell-out na matriz parceiro x SKU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20%, 50 de 250 pares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B2B2C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Diferença entre sell-in e sell-out onde há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1.524 un, 2,5%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B2B2C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Dispersão de cobertura dentro dos parceiros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 11 a 355 dias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empresa informa quatro indicadores que o grupo não recalcula com os dados fornecidos: 89% de pedidos atendidos no prazo contra meta de 96%, MAPE de 31%, aderência de 78% ao plano de produção e 22 horas semanais de análise manual. A base não traz histórico de entregas nem realizado contra previsto por mês, por isso esses indicadores entram como contexto.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spacing w:after="360" w:before="3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3.4 Leitura das evidências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spacing w:after="360" w:before="360" w:line="36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3.4.1 A conciliação interna antecede a lacuna de dados do parceiro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Doze produtos têm pedido do cliente e nenhuma ordem aberta. Outros vinte têm ordem prevista para depois da data combinada. Nenhum desses 32 casos depende de informação de parceiro, pois a carteira e o plano de produção estão dentro da empresa e não convergem na mesma data. Entre os cinco produtos com posição projetada negativa, quatro somam 3.020 unidades prometidas sem nenhuma unidade programada.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spacing w:after="360" w:before="360" w:line="36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3.4.2 Falta e sobra ocorrem ao mesmo tempo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Quinze produtos podem acabar antes de a reposição ficar pronta e seis acumulam 110 dias de cobertura, equivalentes a R$ 760 mil a preço de tabela. Quatro produtos aparecem nas duas situações: CI-0022, CI-0032, CI-0038 e CI-0040 têm estoque parado e carteira sem ordem de produção. O aumento do volume produzido não resolve esse quadro, que depende da ordem de prioridade.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spacing w:after="360" w:before="360" w:line="36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3.4.3 A lacuna de visibilidade supera o desalinhamento comprovado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existe sell-out, a diferença para o sell-in soma 1.524 unidades, ou 2,5%. Esse agregado não comprova acúmulo no canal. A dispersão indica outro ponto: dentro dos mesmos cinco parceiros, a cobertura por produto varia de 11 a 355 dias, e o par KA-02 e CI-0009 concentra 763 unidades de diferença. Sobre vinte dos cinquenta produtos a empresa não recebe informação de venda ao consumidor, e o grupo trata essa ausência como lacuna de informação, nunca como venda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spacing w:after="360" w:before="3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3.5 Análise de causa pelos cinco porquês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spacing w:after="60" w:before="360" w:lineRule="auto"/>
        <w:jc w:val="cente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Quadro 2 – Encadeamento dos cinco porquês</w:t>
      </w:r>
      <w:r w:rsidDel="00000000" w:rsidR="00000000" w:rsidRPr="00000000">
        <w:rPr>
          <w:rtl w:val="0"/>
        </w:rPr>
      </w:r>
    </w:p>
    <w:tbl>
      <w:tblPr>
        <w:tblStyle w:val="Table2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70"/>
        <w:tblGridChange w:id="0">
          <w:tblGrid>
            <w:gridCol w:w="3500"/>
            <w:gridCol w:w="557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Pergunta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Por que existem pedidos com data prometida sem produção correspondente?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Porque a programação da produção não é conciliada com a carteira aberta. Em 12 produtos com pedido não há ordem registrada e em outros 20 a ordem conclui depois da data prometida, com atraso mediano de 10 dias.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Por que a conciliação não acontece a tempo?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Porque o PCP monta a prioridade manualmente, em 22 horas por semana, a partir de fontes com frequências e definições diferentes. A empresa informa que o plano se confirma em 78% dos casos.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Por que o processo depende desse trabalho manual?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Porque demanda, pedidos, estoque, ordens e capacidade não formam uma visão única de prioridade por produto, canal e data de disponibilidade.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Por que a demanda do parceiro entra incompleta nessa visão?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Porque a empresa registra o sell-in de todos os parceiros e recebe sell-out de cinco deles, em dez produtos cada. Sobre o restante da rede, o PCP decide sem essa informação.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Por que a lacuna de sell-out permanece?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Porque ainda não está validado qual informação altera a decisão do PCP. Sem essa definição, o Comercial não tem o que solicitar ao parceiro nem o que oferecer como contrapartida.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causa-raiz a validar é a ausência de um processo de planejamento que reúna a decisão do PCP, o tempo de resposta de cada canal, os dados internos e a visibilidade do parceiro em níveis conhecidos de confiança.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spacing w:after="360" w:before="3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3.6 Fatos, hipóteses e suposições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separação entre as quatro naturezas evita que o grupo sustente na Semana 2 uma conclusão que a base não comprova.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spacing w:after="60" w:before="360" w:lineRule="auto"/>
        <w:jc w:val="cente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Quadro 3 – Separação entre o que está comprovado e o que permanece por validar</w:t>
      </w:r>
      <w:r w:rsidDel="00000000" w:rsidR="00000000" w:rsidRPr="00000000">
        <w:rPr>
          <w:rtl w:val="0"/>
        </w:rPr>
      </w:r>
    </w:p>
    <w:tbl>
      <w:tblPr>
        <w:tblStyle w:val="Table3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6970"/>
        <w:tblGridChange w:id="0">
          <w:tblGrid>
            <w:gridCol w:w="2100"/>
            <w:gridCol w:w="697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Natureza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Fatos apurados na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 produtos com carteira e sem ordem; 20 com ordem posterior à promessa; 15 abaixo do lead time; 13 abaixo do estoque de segurança; 6 com 110 dias e R$ 760 mil; Escolar em 93,2% de ocupação média; sell-out em 20% da matriz; cobertura no parceiro de 11 a 355 dias.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Informado pela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89% de pedidos no prazo, MAPE de 31%, aderência de 78% e 22 horas semanais de análise manual. O grupo não recalcula esses indicadores com os dados fornecidos.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Hipóteses a testar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priorização não considera canal e data de disponibilidade; a carteira não é reconciliada com a produção a tempo; os parâmetros de estoque e lead time estão defasados; o sell-in não representa a demanda final; o canal parceiro exige mais antecipação que o direto.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Suposições sem comprovação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Que os parceiros compartilham dados ao perceber valor na troca; que a diferença entre sell-in e sell-out representa excesso e não defasagem de tempo; que a ruptura pesa mais para o negócio que o excesso ou o atraso.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segunda hipótese é a de validação mais rápida, porque depende de dados que a empresa já mantém internamente.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spacing w:after="360" w:before="3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 RECORTE DO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after="140" w:line="276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O Sprint não precisa provar uma parceria real com um grande varejista. Precisa demonstrar: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5"/>
        </w:numPr>
        <w:tabs>
          <w:tab w:val="left" w:leader="none" w:pos="709"/>
        </w:tabs>
        <w:spacing w:after="140" w:line="276" w:lineRule="auto"/>
        <w:ind w:left="709" w:hanging="283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que o problema de PCP é real e quantificável;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5"/>
        </w:numPr>
        <w:tabs>
          <w:tab w:val="left" w:leader="none" w:pos="709"/>
        </w:tabs>
        <w:spacing w:after="140" w:line="276" w:lineRule="auto"/>
        <w:ind w:left="709" w:hanging="283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que canal e timing mudam a prioridade;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5"/>
        </w:numPr>
        <w:tabs>
          <w:tab w:val="left" w:leader="none" w:pos="709"/>
        </w:tabs>
        <w:spacing w:after="140" w:line="276" w:lineRule="auto"/>
        <w:ind w:left="709" w:hanging="283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que sell-out melhora a qualidade da decisão onde está disponível;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5"/>
        </w:numPr>
        <w:tabs>
          <w:tab w:val="left" w:leader="none" w:pos="709"/>
        </w:tabs>
        <w:spacing w:after="140" w:line="276" w:lineRule="auto"/>
        <w:ind w:left="709" w:hanging="283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que a ausência de sell-out reduz a confiança da recomendação;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5"/>
        </w:numPr>
        <w:tabs>
          <w:tab w:val="left" w:leader="none" w:pos="709"/>
        </w:tabs>
        <w:spacing w:after="140" w:line="276" w:lineRule="auto"/>
        <w:ind w:left="709" w:hanging="283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que existe uma proposta de valor plausível para obter mais dados;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5"/>
        </w:numPr>
        <w:tabs>
          <w:tab w:val="left" w:leader="none" w:pos="709"/>
        </w:tabs>
        <w:spacing w:after="140" w:line="276" w:lineRule="auto"/>
        <w:ind w:left="709" w:hanging="283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que a empresa não precisa de real time para todas as decisões.</w:t>
      </w:r>
    </w:p>
    <w:p w:rsidR="00000000" w:rsidDel="00000000" w:rsidP="00000000" w:rsidRDefault="00000000" w:rsidRPr="00000000" w14:paraId="00000075">
      <w:pPr>
        <w:pStyle w:val="Heading3"/>
        <w:keepNext w:val="1"/>
        <w:widowControl w:val="0"/>
        <w:spacing w:after="120" w:before="140" w:lineRule="auto"/>
        <w:rPr>
          <w:rFonts w:ascii="Liberation Sans" w:cs="Liberation Sans" w:eastAsia="Liberation Sans" w:hAnsi="Liberation Sans"/>
          <w:b w:val="1"/>
          <w:bCs w:val="1"/>
          <w:color w:val="000000"/>
        </w:rPr>
      </w:pPr>
      <w:bookmarkStart w:colFirst="0" w:colLast="0" w:name="_46x04dfxxtf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1"/>
        <w:widowControl w:val="0"/>
        <w:spacing w:after="120" w:before="140" w:lineRule="auto"/>
        <w:rPr>
          <w:rFonts w:ascii="Liberation Sans" w:cs="Liberation Sans" w:eastAsia="Liberation Sans" w:hAnsi="Liberation Sans"/>
          <w:b w:val="1"/>
          <w:bCs w:val="1"/>
          <w:color w:val="000000"/>
        </w:rPr>
      </w:pPr>
      <w:bookmarkStart w:colFirst="0" w:colLast="0" w:name="_xg9b8tk4lcf6" w:id="2"/>
      <w:bookmarkEnd w:id="2"/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000000"/>
          <w:rtl w:val="0"/>
        </w:rPr>
        <w:t xml:space="preserve">4.1 Escopo mínimo viável de discovery/protótipo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3"/>
        </w:numPr>
        <w:tabs>
          <w:tab w:val="left" w:leader="none" w:pos="709"/>
        </w:tabs>
        <w:spacing w:after="140" w:line="27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ranking de SKUs em risco de ruptura ou excesso;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3"/>
        </w:numPr>
        <w:tabs>
          <w:tab w:val="left" w:leader="none" w:pos="709"/>
        </w:tabs>
        <w:spacing w:after="140" w:line="27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separação entre canal direto e parceiro;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3"/>
        </w:numPr>
        <w:tabs>
          <w:tab w:val="left" w:leader="none" w:pos="709"/>
        </w:tabs>
        <w:spacing w:after="140" w:line="27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cálculo de data de necessidade por tipo de atendimento;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3"/>
        </w:numPr>
        <w:tabs>
          <w:tab w:val="left" w:leader="none" w:pos="709"/>
        </w:tabs>
        <w:spacing w:after="140" w:line="27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pedidos, forecast, estoque e capacidade na mesma visão;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3"/>
        </w:numPr>
        <w:tabs>
          <w:tab w:val="left" w:leader="none" w:pos="709"/>
        </w:tabs>
        <w:spacing w:after="140" w:line="27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indicador de visibilidade do parceiro;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3"/>
        </w:numPr>
        <w:tabs>
          <w:tab w:val="left" w:leader="none" w:pos="709"/>
        </w:tabs>
        <w:spacing w:after="140" w:line="27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recomendação com evidências e nível de confiança;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3"/>
        </w:numPr>
        <w:tabs>
          <w:tab w:val="left" w:leader="none" w:pos="709"/>
        </w:tabs>
        <w:spacing w:after="140" w:line="27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simulação dos níveis de colaboração de dados;</w:t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3"/>
        </w:numPr>
        <w:tabs>
          <w:tab w:val="left" w:leader="none" w:pos="709"/>
        </w:tabs>
        <w:spacing w:after="140" w:line="27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exemplo de benefício associado a cada nível, sem prometer concessão comercial definitiva.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spacing w:after="360" w:before="3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 LACUNAS DE INFORMAÇÃO E PRÓXIMOS PASSOS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spacing w:after="60" w:before="360" w:lineRule="auto"/>
        <w:jc w:val="cente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Quadro 5 – Lacunas de informação que limitam o diagnóstico</w:t>
      </w:r>
      <w:r w:rsidDel="00000000" w:rsidR="00000000" w:rsidRPr="00000000">
        <w:rPr>
          <w:rtl w:val="0"/>
        </w:rPr>
      </w:r>
    </w:p>
    <w:tbl>
      <w:tblPr>
        <w:tblStyle w:val="Table4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70"/>
        <w:tblGridChange w:id="0">
          <w:tblGrid>
            <w:gridCol w:w="2800"/>
            <w:gridCol w:w="627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Lacuna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Por que limita o 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Custo e margem por SKU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empresa informou R$1,8 milhão de estoque médio e o grupo apurou R$2,17 milhões a preço de tabela. A diferença sugere valor a custo, e sem essa confirmação falta e sobra não se convertem em impacto financeiro.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Tempo entre a saída do centro de distribuição e a loja do parceiro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 a variável central do recorte e não consta na 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Critério de priorização das ordens de 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Explica os doze produtos com carteira e sem ordem aberta.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Metodologia de estoque mínimo, segurança e 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Define se o problema está no parâmetro ou na execução.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ind w:firstLine="709"/>
        <w:jc w:val="both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próximo passo do projeto consiste em</w:t>
      </w:r>
      <w:r w:rsidDel="00000000" w:rsidR="00000000" w:rsidRPr="00000000">
        <w:rPr>
          <w:rFonts w:ascii="Liberation Sans" w:cs="Liberation Sans" w:eastAsia="Liberation Sans" w:hAnsi="Liberation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apoiar o PCP a priorizar produção e abastecimento por SKU e canal, considerando a data em que o produto precisa estar disponível, e usar uma proposta de colaboração comercial para aumentar progressivamente a visibilidade de sell-out dos parceiros.</w:t>
      </w:r>
    </w:p>
    <w:p w:rsidR="00000000" w:rsidDel="00000000" w:rsidP="00000000" w:rsidRDefault="00000000" w:rsidRPr="00000000" w14:paraId="0000008E">
      <w:pPr>
        <w:spacing w:line="360" w:lineRule="auto"/>
        <w:ind w:firstLine="709"/>
        <w:jc w:val="both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A parceria não resolve diretamente o planejamento. Ela resolve a aquisição de um insumo crítico: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visibilidade sobre o estoque e a venda do parceiro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F">
      <w:pPr>
        <w:pStyle w:val="Heading3"/>
        <w:keepNext w:val="1"/>
        <w:widowControl w:val="0"/>
        <w:spacing w:after="120" w:before="140" w:lineRule="auto"/>
        <w:rPr>
          <w:rFonts w:ascii="Liberation Sans" w:cs="Liberation Sans" w:eastAsia="Liberation Sans" w:hAnsi="Liberation San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1"/>
        <w:widowControl w:val="0"/>
        <w:spacing w:after="120" w:before="140" w:lineRule="auto"/>
        <w:rPr>
          <w:rFonts w:ascii="Liberation Sans" w:cs="Liberation Sans" w:eastAsia="Liberation Sans" w:hAnsi="Liberation Sans"/>
          <w:b w:val="1"/>
          <w:bCs w:val="1"/>
          <w:color w:val="000000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000000"/>
          <w:rtl w:val="0"/>
        </w:rPr>
        <w:t xml:space="preserve">5.1 Hipótese de valor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o Caderno Inteligente oferecer benefícios operacionais e comerciais proporcionais à qualidade e à atualidade dos dados compartilhados, então parceiros estratégicos poderão aumentar a colaboração, permitindo melhor planejamento de produção, reposição e disponibilidade.</w:t>
      </w:r>
    </w:p>
    <w:p w:rsidR="00000000" w:rsidDel="00000000" w:rsidP="00000000" w:rsidRDefault="00000000" w:rsidRPr="00000000" w14:paraId="00000093">
      <w:pPr>
        <w:spacing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1"/>
        <w:widowControl w:val="0"/>
        <w:spacing w:after="120" w:before="14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5.2 Métricas de validação</w:t>
      </w:r>
    </w:p>
    <w:p w:rsidR="00000000" w:rsidDel="00000000" w:rsidP="00000000" w:rsidRDefault="00000000" w:rsidRPr="00000000" w14:paraId="00000095">
      <w:pPr>
        <w:widowControl w:val="0"/>
        <w:tabs>
          <w:tab w:val="left" w:leader="none" w:pos="709"/>
        </w:tabs>
        <w:spacing w:after="140" w:line="276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4"/>
        <w:keepNext w:val="1"/>
        <w:widowControl w:val="0"/>
        <w:spacing w:after="120" w:before="120" w:lineRule="auto"/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5.2.1 Qualidade do dado</w:t>
      </w:r>
    </w:p>
    <w:p w:rsidR="00000000" w:rsidDel="00000000" w:rsidP="00000000" w:rsidRDefault="00000000" w:rsidRPr="00000000" w14:paraId="00000097">
      <w:pPr>
        <w:widowControl w:val="0"/>
        <w:numPr>
          <w:ilvl w:val="0"/>
          <w:numId w:val="1"/>
        </w:numPr>
        <w:tabs>
          <w:tab w:val="left" w:leader="none" w:pos="709"/>
        </w:tabs>
        <w:spacing w:after="140" w:line="27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latência real;</w:t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1"/>
        </w:numPr>
        <w:tabs>
          <w:tab w:val="left" w:leader="none" w:pos="709"/>
        </w:tabs>
        <w:spacing w:after="140" w:line="27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completude;</w:t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1"/>
        </w:numPr>
        <w:tabs>
          <w:tab w:val="left" w:leader="none" w:pos="709"/>
        </w:tabs>
        <w:spacing w:after="140" w:line="27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taxa de erro e duplicidade;</w:t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1"/>
        </w:numPr>
        <w:tabs>
          <w:tab w:val="left" w:leader="none" w:pos="709"/>
        </w:tabs>
        <w:spacing w:after="140" w:line="27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consistência entre estoque, sell-in e sell-out;</w:t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1"/>
        </w:numPr>
        <w:tabs>
          <w:tab w:val="left" w:leader="none" w:pos="709"/>
        </w:tabs>
        <w:spacing w:after="140" w:line="27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estabilidade dos envios.</w:t>
      </w:r>
    </w:p>
    <w:p w:rsidR="00000000" w:rsidDel="00000000" w:rsidP="00000000" w:rsidRDefault="00000000" w:rsidRPr="00000000" w14:paraId="0000009C">
      <w:pPr>
        <w:widowControl w:val="0"/>
        <w:tabs>
          <w:tab w:val="left" w:leader="none" w:pos="709"/>
        </w:tabs>
        <w:spacing w:after="140" w:line="276" w:lineRule="auto"/>
        <w:ind w:left="709" w:firstLine="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4"/>
        <w:keepNext w:val="1"/>
        <w:widowControl w:val="0"/>
        <w:spacing w:after="120" w:before="120" w:lineRule="auto"/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5.2.2 Valor para o PCP</w:t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4"/>
        </w:numPr>
        <w:tabs>
          <w:tab w:val="left" w:leader="none" w:pos="709"/>
        </w:tabs>
        <w:spacing w:after="140" w:line="27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decisões de priorização que mudaram após receber sell-out;</w:t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4"/>
        </w:numPr>
        <w:tabs>
          <w:tab w:val="left" w:leader="none" w:pos="709"/>
        </w:tabs>
        <w:spacing w:after="140" w:line="27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redução de recomendações com baixa confiança;</w:t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4"/>
        </w:numPr>
        <w:tabs>
          <w:tab w:val="left" w:leader="none" w:pos="709"/>
        </w:tabs>
        <w:spacing w:after="140" w:line="27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redução do tempo de análise;</w:t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4"/>
        </w:numPr>
        <w:tabs>
          <w:tab w:val="left" w:leader="none" w:pos="709"/>
        </w:tabs>
        <w:spacing w:after="140" w:line="27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melhoria de aderência de produção;</w:t>
      </w:r>
    </w:p>
    <w:p w:rsidR="00000000" w:rsidDel="00000000" w:rsidP="00000000" w:rsidRDefault="00000000" w:rsidRPr="00000000" w14:paraId="000000A2">
      <w:pPr>
        <w:widowControl w:val="0"/>
        <w:numPr>
          <w:ilvl w:val="0"/>
          <w:numId w:val="4"/>
        </w:numPr>
        <w:tabs>
          <w:tab w:val="left" w:leader="none" w:pos="709"/>
        </w:tabs>
        <w:spacing w:after="140" w:line="27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redução de rupturas e excesso, se houver histórico suficiente.</w:t>
      </w:r>
    </w:p>
    <w:p w:rsidR="00000000" w:rsidDel="00000000" w:rsidP="00000000" w:rsidRDefault="00000000" w:rsidRPr="00000000" w14:paraId="000000A3">
      <w:pPr>
        <w:pStyle w:val="Heading4"/>
        <w:keepNext w:val="1"/>
        <w:widowControl w:val="0"/>
        <w:spacing w:after="120" w:before="120" w:lineRule="auto"/>
        <w:rPr>
          <w:rFonts w:ascii="Liberation Sans" w:cs="Liberation Sans" w:eastAsia="Liberation Sans" w:hAnsi="Liberation Sans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4"/>
        <w:keepNext w:val="1"/>
        <w:widowControl w:val="0"/>
        <w:spacing w:after="120" w:before="120" w:lineRule="auto"/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5.2.3 Valor para o parceiro</w:t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2"/>
        </w:numPr>
        <w:tabs>
          <w:tab w:val="left" w:leader="none" w:pos="709"/>
        </w:tabs>
        <w:spacing w:after="140" w:line="27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redução de ruptura;</w:t>
      </w:r>
    </w:p>
    <w:p w:rsidR="00000000" w:rsidDel="00000000" w:rsidP="00000000" w:rsidRDefault="00000000" w:rsidRPr="00000000" w14:paraId="000000A6">
      <w:pPr>
        <w:widowControl w:val="0"/>
        <w:numPr>
          <w:ilvl w:val="0"/>
          <w:numId w:val="2"/>
        </w:numPr>
        <w:tabs>
          <w:tab w:val="left" w:leader="none" w:pos="709"/>
        </w:tabs>
        <w:spacing w:after="140" w:line="27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redução de estoque parado;</w:t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2"/>
        </w:numPr>
        <w:tabs>
          <w:tab w:val="left" w:leader="none" w:pos="709"/>
        </w:tabs>
        <w:spacing w:after="140" w:line="27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aumento de disponibilidade;</w:t>
      </w:r>
    </w:p>
    <w:p w:rsidR="00000000" w:rsidDel="00000000" w:rsidP="00000000" w:rsidRDefault="00000000" w:rsidRPr="00000000" w14:paraId="000000A8">
      <w:pPr>
        <w:widowControl w:val="0"/>
        <w:numPr>
          <w:ilvl w:val="0"/>
          <w:numId w:val="2"/>
        </w:numPr>
        <w:tabs>
          <w:tab w:val="left" w:leader="none" w:pos="709"/>
        </w:tabs>
        <w:spacing w:after="140" w:line="27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menor urgência de pedidos;</w:t>
      </w:r>
    </w:p>
    <w:p w:rsidR="00000000" w:rsidDel="00000000" w:rsidP="00000000" w:rsidRDefault="00000000" w:rsidRPr="00000000" w14:paraId="000000A9">
      <w:pPr>
        <w:widowControl w:val="0"/>
        <w:numPr>
          <w:ilvl w:val="0"/>
          <w:numId w:val="2"/>
        </w:numPr>
        <w:tabs>
          <w:tab w:val="left" w:leader="none" w:pos="709"/>
        </w:tabs>
        <w:spacing w:after="140" w:line="27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melhoria de atendimento ou sell-out.</w:t>
      </w:r>
    </w:p>
    <w:p w:rsidR="00000000" w:rsidDel="00000000" w:rsidP="00000000" w:rsidRDefault="00000000" w:rsidRPr="00000000" w14:paraId="000000AA">
      <w:pPr>
        <w:widowControl w:val="0"/>
        <w:tabs>
          <w:tab w:val="left" w:leader="none" w:pos="709"/>
        </w:tabs>
        <w:spacing w:after="140" w:line="276" w:lineRule="auto"/>
        <w:ind w:left="709" w:firstLine="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after="140" w:line="276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A parceria deve ser considerada validada somente quando houver benefício dos dois lados. A simples existência de um feed de dados não é sucesso.</w:t>
      </w:r>
    </w:p>
    <w:p w:rsidR="00000000" w:rsidDel="00000000" w:rsidP="00000000" w:rsidRDefault="00000000" w:rsidRPr="00000000" w14:paraId="000000AC">
      <w:pPr>
        <w:spacing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type w:val="nextPage"/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jc w:val="right"/>
      <w:rPr/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u w:val="none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u w:val="none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u w:val="none"/>
      </w:rPr>
    </w:lvl>
    <w:lvl w:ilvl="3">
      <w:start w:val="1"/>
      <w:numFmt w:val="bullet"/>
      <w:lvlText w:val="●"/>
      <w:lvlJc w:val="left"/>
      <w:pPr>
        <w:ind w:left="2836" w:hanging="283"/>
      </w:pPr>
      <w:rPr>
        <w:u w:val="none"/>
      </w:rPr>
    </w:lvl>
    <w:lvl w:ilvl="4">
      <w:start w:val="1"/>
      <w:numFmt w:val="bullet"/>
      <w:lvlText w:val="●"/>
      <w:lvlJc w:val="left"/>
      <w:pPr>
        <w:ind w:left="3545" w:hanging="283"/>
      </w:pPr>
      <w:rPr>
        <w:u w:val="none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u w:val="none"/>
      </w:rPr>
    </w:lvl>
    <w:lvl w:ilvl="6">
      <w:start w:val="1"/>
      <w:numFmt w:val="bullet"/>
      <w:lvlText w:val="●"/>
      <w:lvlJc w:val="left"/>
      <w:pPr>
        <w:ind w:left="4963" w:hanging="283"/>
      </w:pPr>
      <w:rPr>
        <w:u w:val="none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u w:val="none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u w:val="none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u w:val="none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u w:val="none"/>
      </w:rPr>
    </w:lvl>
    <w:lvl w:ilvl="3">
      <w:start w:val="1"/>
      <w:numFmt w:val="bullet"/>
      <w:lvlText w:val="●"/>
      <w:lvlJc w:val="left"/>
      <w:pPr>
        <w:ind w:left="2836" w:hanging="283"/>
      </w:pPr>
      <w:rPr>
        <w:u w:val="none"/>
      </w:rPr>
    </w:lvl>
    <w:lvl w:ilvl="4">
      <w:start w:val="1"/>
      <w:numFmt w:val="bullet"/>
      <w:lvlText w:val="●"/>
      <w:lvlJc w:val="left"/>
      <w:pPr>
        <w:ind w:left="3545" w:hanging="283"/>
      </w:pPr>
      <w:rPr>
        <w:u w:val="none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u w:val="none"/>
      </w:rPr>
    </w:lvl>
    <w:lvl w:ilvl="6">
      <w:start w:val="1"/>
      <w:numFmt w:val="bullet"/>
      <w:lvlText w:val="●"/>
      <w:lvlJc w:val="left"/>
      <w:pPr>
        <w:ind w:left="4963" w:hanging="283"/>
      </w:pPr>
      <w:rPr>
        <w:u w:val="none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u w:val="none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u w:val="none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u w:val="none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u w:val="none"/>
      </w:rPr>
    </w:lvl>
    <w:lvl w:ilvl="3">
      <w:start w:val="1"/>
      <w:numFmt w:val="bullet"/>
      <w:lvlText w:val="●"/>
      <w:lvlJc w:val="left"/>
      <w:pPr>
        <w:ind w:left="2836" w:hanging="283"/>
      </w:pPr>
      <w:rPr>
        <w:u w:val="none"/>
      </w:rPr>
    </w:lvl>
    <w:lvl w:ilvl="4">
      <w:start w:val="1"/>
      <w:numFmt w:val="bullet"/>
      <w:lvlText w:val="●"/>
      <w:lvlJc w:val="left"/>
      <w:pPr>
        <w:ind w:left="3545" w:hanging="283"/>
      </w:pPr>
      <w:rPr>
        <w:u w:val="none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u w:val="none"/>
      </w:rPr>
    </w:lvl>
    <w:lvl w:ilvl="6">
      <w:start w:val="1"/>
      <w:numFmt w:val="bullet"/>
      <w:lvlText w:val="●"/>
      <w:lvlJc w:val="left"/>
      <w:pPr>
        <w:ind w:left="4963" w:hanging="283"/>
      </w:pPr>
      <w:rPr>
        <w:u w:val="none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u w:val="none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u w:val="none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u w:val="none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u w:val="none"/>
      </w:rPr>
    </w:lvl>
    <w:lvl w:ilvl="3">
      <w:start w:val="1"/>
      <w:numFmt w:val="bullet"/>
      <w:lvlText w:val="●"/>
      <w:lvlJc w:val="left"/>
      <w:pPr>
        <w:ind w:left="2836" w:hanging="283"/>
      </w:pPr>
      <w:rPr>
        <w:u w:val="none"/>
      </w:rPr>
    </w:lvl>
    <w:lvl w:ilvl="4">
      <w:start w:val="1"/>
      <w:numFmt w:val="bullet"/>
      <w:lvlText w:val="●"/>
      <w:lvlJc w:val="left"/>
      <w:pPr>
        <w:ind w:left="3545" w:hanging="283"/>
      </w:pPr>
      <w:rPr>
        <w:u w:val="none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u w:val="none"/>
      </w:rPr>
    </w:lvl>
    <w:lvl w:ilvl="6">
      <w:start w:val="1"/>
      <w:numFmt w:val="bullet"/>
      <w:lvlText w:val="●"/>
      <w:lvlJc w:val="left"/>
      <w:pPr>
        <w:ind w:left="4963" w:hanging="283"/>
      </w:pPr>
      <w:rPr>
        <w:u w:val="none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u w:val="none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09" w:hanging="282.9999999999999"/>
      </w:pPr>
      <w:rPr>
        <w:u w:val="none"/>
      </w:rPr>
    </w:lvl>
    <w:lvl w:ilvl="1">
      <w:start w:val="1"/>
      <w:numFmt w:val="decimal"/>
      <w:lvlText w:val="%2."/>
      <w:lvlJc w:val="left"/>
      <w:pPr>
        <w:ind w:left="1418" w:hanging="282.9999999999998"/>
      </w:pPr>
      <w:rPr>
        <w:u w:val="none"/>
      </w:rPr>
    </w:lvl>
    <w:lvl w:ilvl="2">
      <w:start w:val="1"/>
      <w:numFmt w:val="decimal"/>
      <w:lvlText w:val="%3."/>
      <w:lvlJc w:val="left"/>
      <w:pPr>
        <w:ind w:left="2127" w:hanging="283.0000000000002"/>
      </w:pPr>
      <w:rPr>
        <w:u w:val="none"/>
      </w:rPr>
    </w:lvl>
    <w:lvl w:ilvl="3">
      <w:start w:val="1"/>
      <w:numFmt w:val="decimal"/>
      <w:lvlText w:val="%4."/>
      <w:lvlJc w:val="left"/>
      <w:pPr>
        <w:ind w:left="2836" w:hanging="283"/>
      </w:pPr>
      <w:rPr>
        <w:u w:val="none"/>
      </w:rPr>
    </w:lvl>
    <w:lvl w:ilvl="4">
      <w:start w:val="1"/>
      <w:numFmt w:val="decimal"/>
      <w:lvlText w:val="%5."/>
      <w:lvlJc w:val="left"/>
      <w:pPr>
        <w:ind w:left="3545" w:hanging="283"/>
      </w:pPr>
      <w:rPr>
        <w:u w:val="none"/>
      </w:rPr>
    </w:lvl>
    <w:lvl w:ilvl="5">
      <w:start w:val="1"/>
      <w:numFmt w:val="decimal"/>
      <w:lvlText w:val="%6."/>
      <w:lvlJc w:val="left"/>
      <w:pPr>
        <w:ind w:left="4254" w:hanging="283.00000000000045"/>
      </w:pPr>
      <w:rPr>
        <w:u w:val="none"/>
      </w:rPr>
    </w:lvl>
    <w:lvl w:ilvl="6">
      <w:start w:val="1"/>
      <w:numFmt w:val="decimal"/>
      <w:lvlText w:val="%7."/>
      <w:lvlJc w:val="left"/>
      <w:pPr>
        <w:ind w:left="4963" w:hanging="283"/>
      </w:pPr>
      <w:rPr>
        <w:u w:val="none"/>
      </w:rPr>
    </w:lvl>
    <w:lvl w:ilvl="7">
      <w:start w:val="1"/>
      <w:numFmt w:val="decimal"/>
      <w:lvlText w:val="%8."/>
      <w:lvlJc w:val="left"/>
      <w:pPr>
        <w:ind w:left="5672" w:hanging="282.9999999999991"/>
      </w:pPr>
      <w:rPr>
        <w:u w:val="none"/>
      </w:rPr>
    </w:lvl>
    <w:lvl w:ilvl="8">
      <w:start w:val="1"/>
      <w:numFmt w:val="decimal"/>
      <w:lvlText w:val="%9."/>
      <w:lvlJc w:val="left"/>
      <w:pPr>
        <w:ind w:left="6381" w:hanging="282.9999999999991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