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0"/>
      </w:pPr>
      <w:r>
        <w:t>ITA Challenge Sprint</w:t>
      </w:r>
    </w:p>
    <w:p>
      <w:pPr>
        <w:spacing w:before="300"/>
      </w:pPr>
      <w:r>
        <w:rPr>
          <w:b/>
          <w:color w:val="16314F"/>
          <w:sz w:val="34"/>
        </w:rPr>
        <w:t>Desafio 3 — Caderno Inteligente</w:t>
      </w:r>
    </w:p>
    <w:p>
      <w:pPr>
        <w:spacing w:before="300"/>
      </w:pPr>
      <w:r>
        <w:rPr>
          <w:b/>
          <w:color w:val="16314F"/>
          <w:sz w:val="34"/>
        </w:rPr>
        <w:t>Semana 2 — Hipótese de Solução</w:t>
      </w:r>
    </w:p>
    <w:p>
      <w:pPr>
        <w:spacing w:before="300"/>
      </w:pPr>
      <w:r>
        <w:rPr>
          <w:b w:val="0"/>
          <w:color w:val="16314F"/>
          <w:sz w:val="24"/>
        </w:rPr>
        <w:t>Grupo 8</w:t>
      </w:r>
    </w:p>
    <w:p>
      <w:pPr>
        <w:spacing w:before="300"/>
      </w:pPr>
      <w:r>
        <w:rPr>
          <w:b w:val="0"/>
          <w:color w:val="16314F"/>
          <w:sz w:val="24"/>
        </w:rPr>
        <w:t>Solução determinística com IA analítica delimitada</w:t>
      </w:r>
    </w:p>
    <w:p>
      <w:r>
        <w:br w:type="page"/>
      </w:r>
    </w:p>
    <w:p>
      <w:pPr>
        <w:pStyle w:val="Heading1"/>
        <w:spacing w:before="400"/>
      </w:pPr>
      <w:r>
        <w:t>Sumário</w:t>
      </w:r>
    </w:p>
    <w:p>
      <w:r>
        <w:fldChar w:fldCharType="begin"/>
      </w:r>
      <w:r>
        <w:instrText xml:space="preserve"> TOC \o "1-1" \h \z \u </w:instrText>
      </w:r>
      <w:r>
        <w:fldChar w:fldCharType="separate"/>
      </w:r>
    </w:p>
    <w:p>
      <w:pPr>
        <w:tabs>
          <w:tab w:pos="8928" w:val="left"/>
        </w:tabs>
        <w:spacing w:after="160"/>
      </w:pPr>
      <w:r>
        <w:rPr>
          <w:sz w:val="21"/>
        </w:rPr>
        <w:t>1. Resumo da proposta</w:t>
        <w:tab/>
        <w:t>3</w:t>
      </w:r>
    </w:p>
    <w:p>
      <w:pPr>
        <w:tabs>
          <w:tab w:pos="8928" w:val="left"/>
        </w:tabs>
        <w:spacing w:after="160"/>
      </w:pPr>
      <w:r>
        <w:rPr>
          <w:sz w:val="21"/>
        </w:rPr>
        <w:t>2. Como a solução funciona</w:t>
        <w:tab/>
        <w:t>4</w:t>
      </w:r>
    </w:p>
    <w:p>
      <w:pPr>
        <w:tabs>
          <w:tab w:pos="8928" w:val="left"/>
        </w:tabs>
        <w:spacing w:after="160"/>
      </w:pPr>
      <w:r>
        <w:rPr>
          <w:sz w:val="21"/>
        </w:rPr>
        <w:t>3. Como as duas frentes se conectam</w:t>
        <w:tab/>
        <w:t>6</w:t>
      </w:r>
    </w:p>
    <w:p>
      <w:pPr>
        <w:tabs>
          <w:tab w:pos="8928" w:val="left"/>
        </w:tabs>
        <w:spacing w:after="160"/>
      </w:pPr>
      <w:r>
        <w:rPr>
          <w:sz w:val="21"/>
        </w:rPr>
        <w:t>4. Níveis de colaboração comercial</w:t>
        <w:tab/>
        <w:t>7</w:t>
      </w:r>
    </w:p>
    <w:p>
      <w:pPr>
        <w:tabs>
          <w:tab w:pos="8928" w:val="left"/>
        </w:tabs>
        <w:spacing w:after="160"/>
      </w:pPr>
      <w:r>
        <w:rPr>
          <w:sz w:val="21"/>
        </w:rPr>
        <w:t>5. Atendimento aos requisitos do desafio</w:t>
        <w:tab/>
        <w:t>8</w:t>
      </w:r>
    </w:p>
    <w:p>
      <w:pPr>
        <w:tabs>
          <w:tab w:pos="8928" w:val="left"/>
        </w:tabs>
        <w:spacing w:after="160"/>
      </w:pPr>
      <w:r>
        <w:rPr>
          <w:sz w:val="21"/>
        </w:rPr>
        <w:t>6. Papel da Inteligência Artificial</w:t>
        <w:tab/>
        <w:t>9</w:t>
      </w:r>
    </w:p>
    <w:p>
      <w:pPr>
        <w:tabs>
          <w:tab w:pos="8928" w:val="left"/>
        </w:tabs>
        <w:spacing w:after="160"/>
      </w:pPr>
      <w:r>
        <w:rPr>
          <w:sz w:val="21"/>
        </w:rPr>
        <w:t>7. Resultado atual e linha de base</w:t>
        <w:tab/>
        <w:t>10</w:t>
      </w:r>
    </w:p>
    <w:p>
      <w:pPr>
        <w:tabs>
          <w:tab w:pos="8928" w:val="left"/>
        </w:tabs>
        <w:spacing w:after="160"/>
      </w:pPr>
      <w:r>
        <w:rPr>
          <w:sz w:val="21"/>
        </w:rPr>
        <w:t>8. Métricas de sucesso e metas</w:t>
        <w:tab/>
        <w:t>11</w:t>
      </w:r>
    </w:p>
    <w:p>
      <w:pPr>
        <w:tabs>
          <w:tab w:pos="8928" w:val="left"/>
        </w:tabs>
        <w:spacing w:after="160"/>
      </w:pPr>
      <w:r>
        <w:rPr>
          <w:sz w:val="21"/>
        </w:rPr>
        <w:t>9. Dados disponíveis e qualidade</w:t>
        <w:tab/>
        <w:t>12</w:t>
      </w:r>
    </w:p>
    <w:p>
      <w:pPr>
        <w:tabs>
          <w:tab w:pos="8928" w:val="left"/>
        </w:tabs>
        <w:spacing w:after="160"/>
      </w:pPr>
      <w:r>
        <w:rPr>
          <w:sz w:val="21"/>
        </w:rPr>
        <w:t>10. Limites da solução proposta</w:t>
        <w:tab/>
        <w:t>12</w:t>
      </w:r>
    </w:p>
    <w:p>
      <w:pPr>
        <w:tabs>
          <w:tab w:pos="8928" w:val="left"/>
        </w:tabs>
        <w:spacing w:after="160"/>
      </w:pPr>
      <w:r>
        <w:rPr>
          <w:sz w:val="21"/>
        </w:rPr>
        <w:t>11. Respostas diretas às perguntas da Semana 2</w:t>
        <w:tab/>
        <w:t>13</w:t>
      </w:r>
    </w:p>
    <w:p>
      <w:pPr>
        <w:tabs>
          <w:tab w:pos="8928" w:val="left"/>
        </w:tabs>
        <w:spacing w:after="160"/>
      </w:pPr>
      <w:r>
        <w:rPr>
          <w:sz w:val="21"/>
        </w:rPr>
        <w:t>Conclusão</w:t>
        <w:tab/>
        <w:t>14</w:t>
      </w:r>
      <w:r>
        <w:fldChar w:fldCharType="end"/>
      </w:r>
    </w:p>
    <w:p>
      <w:r>
        <w:br w:type="page"/>
      </w:r>
    </w:p>
    <w:p>
      <w:pPr>
        <w:pStyle w:val="Title"/>
      </w:pPr>
      <w:r>
        <w:t>ITA Challenge Sprint — Desafio 3</w:t>
      </w:r>
    </w:p>
    <w:p>
      <w:pPr>
        <w:pStyle w:val="Heading2"/>
      </w:pPr>
      <w:r>
        <w:t>Semana 2 · Hipótese de Solução</w:t>
      </w:r>
    </w:p>
    <w:p>
      <w:pPr>
        <w:pStyle w:val="Heading3"/>
      </w:pPr>
      <w:r>
        <w:t>Caderno Inteligente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E0E6"/>
          <w:left w:val="single" w:sz="4" w:color="D9E0E6"/>
          <w:bottom w:val="single" w:sz="4" w:color="D9E0E6"/>
          <w:right w:val="single" w:sz="4" w:color="D9E0E6"/>
          <w:insideH w:val="single" w:sz="4" w:color="D9E0E6"/>
          <w:insideV w:val="single" w:sz="4" w:color="D9E0E6"/>
        </w:tblBorders>
      </w:tblPr>
      <w:tblGrid>
        <w:gridCol w:w="9547"/>
      </w:tblGrid>
      <w:tr>
        <w:tc>
          <w:tcPr>
            <w:tcW w:type="dxa" w:w="9547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</w:rPr>
              <w:t>Hipótese central:</w:t>
            </w:r>
            <w:r>
              <w:t xml:space="preserve"> conectar a colaboração comercial B2B2C à priorização operacional do PCP, utilizando o máximo possível de regras transparentes e recorrendo à IA somente em tarefas analíticas nas quais ela agregue valor mensurável.</w:t>
            </w:r>
          </w:p>
        </w:tc>
      </w:tr>
    </w:tbl>
    <w:p>
      <w:pPr>
        <w:spacing w:after="0"/>
      </w:pPr>
    </w:p>
    <w:p>
      <w:pPr>
        <w:pStyle w:val="Heading1"/>
      </w:pPr>
      <w:r>
        <w:t>1. Resumo da proposta</w:t>
      </w:r>
    </w:p>
    <w:p>
      <w:r>
        <w:t>O diagnóstico da Semana 1 mostrou que o Caderno Inteligente precisa melhorar a decisão sobre:</w:t>
      </w:r>
    </w:p>
    <w:p>
      <w:pPr>
        <w:pStyle w:val="ListBullet"/>
      </w:pPr>
      <w:r>
        <w:t>o que produzir;</w:t>
      </w:r>
    </w:p>
    <w:p>
      <w:pPr>
        <w:pStyle w:val="ListBullet"/>
      </w:pPr>
      <w:r>
        <w:t>quanto produzir;</w:t>
      </w:r>
    </w:p>
    <w:p>
      <w:pPr>
        <w:pStyle w:val="ListBullet"/>
      </w:pPr>
      <w:r>
        <w:t>quando disponibilizar cada SKU;</w:t>
      </w:r>
    </w:p>
    <w:p>
      <w:pPr>
        <w:pStyle w:val="ListBullet"/>
      </w:pPr>
      <w:r>
        <w:t>para qual canal ou parceiro priorizar a disponibilidade.</w:t>
      </w:r>
    </w:p>
    <w:p>
      <w:r>
        <w:t>Essa decisão é prejudicada pela fragmentação dos dados internos e pela visibilidade parcial do estoque e do sell-out dos parceiros.</w:t>
      </w:r>
    </w:p>
    <w:p>
      <w:r>
        <w:t>A hipótese de solução possui duas frentes integradas:</w:t>
      </w:r>
    </w:p>
    <w:p>
      <w:pPr>
        <w:pStyle w:val="Heading2"/>
      </w:pPr>
      <w:r>
        <w:t>Frente 1 — Colaboração Comercial B2B2C</w:t>
      </w:r>
    </w:p>
    <w:p>
      <w:r>
        <w:t>Criar níveis progressivos de colaboração com parceiros para ampliar a disponibilidade, atualidade e qualidade dos dados de sell-out e estoque.</w:t>
      </w:r>
    </w:p>
    <w:p>
      <w:pPr>
        <w:pStyle w:val="Heading2"/>
      </w:pPr>
      <w:r>
        <w:t>Frente 2 — Priorização de PCP</w:t>
      </w:r>
    </w:p>
    <w:p>
      <w:r>
        <w:t>Usar dados internos e informações disponíveis dos parceiros para identificar riscos, oportunidades e prioridades de produção e abastecimento.</w:t>
      </w:r>
    </w:p>
    <w:p>
      <w:r>
        <w:t>A primeira frente melhora a informação disponível. A segunda transforma a informação em decisão operacional.</w:t>
      </w:r>
    </w:p>
    <w:p>
      <w:pPr>
        <w:pStyle w:val="Heading1"/>
      </w:pPr>
      <w:r>
        <w:t>Proposta de valor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E0E6"/>
          <w:left w:val="single" w:sz="4" w:color="D9E0E6"/>
          <w:bottom w:val="single" w:sz="4" w:color="D9E0E6"/>
          <w:right w:val="single" w:sz="4" w:color="D9E0E6"/>
          <w:insideH w:val="single" w:sz="4" w:color="D9E0E6"/>
          <w:insideV w:val="single" w:sz="4" w:color="D9E0E6"/>
        </w:tblBorders>
      </w:tblPr>
      <w:tblGrid>
        <w:gridCol w:w="9547"/>
      </w:tblGrid>
      <w:tr>
        <w:tc>
          <w:tcPr>
            <w:tcW w:type="dxa" w:w="9547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</w:rPr>
              <w:t>Permitir que o Caderno Inteligente priorize produção e abastecimento com mais rapidez, transparência e adequação ao canal, reduzindo decisões baseadas somente em sell-in ou em informações incompletas.</w:t>
            </w:r>
          </w:p>
        </w:tc>
      </w:tr>
    </w:tbl>
    <w:p>
      <w:pPr>
        <w:spacing w:after="0"/>
      </w:pPr>
    </w:p>
    <w:p>
      <w:r>
        <w:t>Para o parceiro, a hipótese de valor é: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E0E6"/>
          <w:left w:val="single" w:sz="4" w:color="D9E0E6"/>
          <w:bottom w:val="single" w:sz="4" w:color="D9E0E6"/>
          <w:right w:val="single" w:sz="4" w:color="D9E0E6"/>
          <w:insideH w:val="single" w:sz="4" w:color="D9E0E6"/>
          <w:insideV w:val="single" w:sz="4" w:color="D9E0E6"/>
        </w:tblBorders>
      </w:tblPr>
      <w:tblGrid>
        <w:gridCol w:w="9547"/>
      </w:tblGrid>
      <w:tr>
        <w:tc>
          <w:tcPr>
            <w:tcW w:type="dxa" w:w="9547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</w:rPr>
              <w:t>Compartilhar dados com qualidade pode gerar maior previsibilidade, melhor planejamento de reposição e benefícios proporcionais à colaboração.</w:t>
            </w:r>
          </w:p>
        </w:tc>
      </w:tr>
    </w:tbl>
    <w:p>
      <w:pPr>
        <w:spacing w:after="0"/>
      </w:pPr>
    </w:p>
    <w:p>
      <w:r>
        <w:t>Os benefícios comerciais ainda são hipóteses a validar, não compromissos definidos.</w:t>
      </w:r>
    </w:p>
    <w:p>
      <w:pPr>
        <w:pStyle w:val="Heading1"/>
      </w:pPr>
      <w:r>
        <w:t>2. Como a solução funciona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6"/>
          <w:left w:val="single" w:sz="4" w:color="D9E0E6"/>
          <w:bottom w:val="single" w:sz="4" w:color="D9E0E6"/>
          <w:right w:val="single" w:sz="4" w:color="D9E0E6"/>
          <w:insideH w:val="single" w:sz="4" w:color="D9E0E6"/>
          <w:insideV w:val="single" w:sz="4" w:color="D9E0E6"/>
        </w:tblBorders>
      </w:tblPr>
      <w:tblGrid>
        <w:gridCol w:w="9547"/>
      </w:tblGrid>
      <w:tr>
        <w:tc>
          <w:tcPr>
            <w:tcW w:type="dxa" w:w="9547"/>
            <w:vAlign w:val="center"/>
            <w:shd w:fill="EAF0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Dados internos + dados dos parceiros</w:t>
            </w:r>
          </w:p>
        </w:tc>
      </w:tr>
      <w:tr>
        <w:tc>
          <w:tcPr>
            <w:tcW w:type="dxa" w:w="9547"/>
            <w:vAlign w:val="center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color w:val="5B6E81"/>
              </w:rPr>
              <w:t>↓</w:t>
            </w:r>
            <w:r>
              <w:br/>
            </w:r>
            <w:r>
              <w:rPr>
                <w:b/>
                <w:sz w:val="19"/>
              </w:rPr>
              <w:t>Validação e padronização</w:t>
            </w:r>
          </w:p>
        </w:tc>
      </w:tr>
      <w:tr>
        <w:tc>
          <w:tcPr>
            <w:tcW w:type="dxa" w:w="9547"/>
            <w:vAlign w:val="center"/>
            <w:shd w:fill="EAF0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color w:val="5B6E81"/>
              </w:rPr>
              <w:t>↓</w:t>
            </w:r>
            <w:r>
              <w:br/>
            </w:r>
            <w:r>
              <w:rPr>
                <w:b/>
                <w:sz w:val="19"/>
              </w:rPr>
              <w:t>Cálculos determinísticos e regras de negócio</w:t>
            </w:r>
          </w:p>
        </w:tc>
      </w:tr>
      <w:tr>
        <w:tc>
          <w:tcPr>
            <w:tcW w:type="dxa" w:w="9547"/>
            <w:vAlign w:val="center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color w:val="5B6E81"/>
              </w:rPr>
              <w:t>↓</w:t>
            </w:r>
            <w:r>
              <w:br/>
            </w:r>
            <w:r>
              <w:rPr>
                <w:b/>
                <w:sz w:val="19"/>
              </w:rPr>
              <w:t>Sinais de risco, oportunidade e prioridade</w:t>
            </w:r>
          </w:p>
        </w:tc>
      </w:tr>
      <w:tr>
        <w:tc>
          <w:tcPr>
            <w:tcW w:type="dxa" w:w="9547"/>
            <w:vAlign w:val="center"/>
            <w:shd w:fill="EAF0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color w:val="5B6E81"/>
              </w:rPr>
              <w:t>↓</w:t>
            </w:r>
            <w:r>
              <w:br/>
            </w:r>
            <w:r>
              <w:rPr>
                <w:b/>
                <w:sz w:val="19"/>
              </w:rPr>
              <w:t>IA analítica somente onde necessário</w:t>
            </w:r>
          </w:p>
        </w:tc>
      </w:tr>
      <w:tr>
        <w:tc>
          <w:tcPr>
            <w:tcW w:type="dxa" w:w="9547"/>
            <w:vAlign w:val="center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color w:val="5B6E81"/>
              </w:rPr>
              <w:t>↓</w:t>
            </w:r>
            <w:r>
              <w:br/>
            </w:r>
            <w:r>
              <w:rPr>
                <w:b/>
                <w:sz w:val="19"/>
              </w:rPr>
              <w:t>Priorização explicável para PCP e Comercial</w:t>
            </w:r>
          </w:p>
        </w:tc>
      </w:tr>
      <w:tr>
        <w:tc>
          <w:tcPr>
            <w:tcW w:type="dxa" w:w="9547"/>
            <w:vAlign w:val="center"/>
            <w:shd w:fill="EAF0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color w:val="5B6E81"/>
              </w:rPr>
              <w:t>↓</w:t>
            </w:r>
            <w:r>
              <w:br/>
            </w:r>
            <w:r>
              <w:rPr>
                <w:b/>
                <w:sz w:val="19"/>
              </w:rPr>
              <w:t>Decisão final humana</w:t>
            </w:r>
          </w:p>
        </w:tc>
      </w:tr>
    </w:tbl>
    <w:p>
      <w:pPr>
        <w:spacing w:after="0"/>
      </w:pPr>
    </w:p>
    <w:p>
      <w:pPr>
        <w:pStyle w:val="Heading2"/>
      </w:pPr>
      <w:r>
        <w:t>Etapa 1 — Consolidação e qualidade dos dados</w:t>
      </w:r>
    </w:p>
    <w:p>
      <w:r>
        <w:t>A solução recebe e organiza:</w:t>
      </w:r>
    </w:p>
    <w:p>
      <w:pPr>
        <w:pStyle w:val="ListBullet"/>
      </w:pPr>
      <w:r>
        <w:t>vendas;</w:t>
      </w:r>
    </w:p>
    <w:p>
      <w:pPr>
        <w:pStyle w:val="ListBullet"/>
      </w:pPr>
      <w:r>
        <w:t>sell-in;</w:t>
      </w:r>
    </w:p>
    <w:p>
      <w:pPr>
        <w:pStyle w:val="ListBullet"/>
      </w:pPr>
      <w:r>
        <w:t>sell-out;</w:t>
      </w:r>
    </w:p>
    <w:p>
      <w:pPr>
        <w:pStyle w:val="ListBullet"/>
      </w:pPr>
      <w:r>
        <w:t>estoque;</w:t>
      </w:r>
    </w:p>
    <w:p>
      <w:pPr>
        <w:pStyle w:val="ListBullet"/>
      </w:pPr>
      <w:r>
        <w:t>pedidos;</w:t>
      </w:r>
    </w:p>
    <w:p>
      <w:pPr>
        <w:pStyle w:val="ListBullet"/>
      </w:pPr>
      <w:r>
        <w:t>ordens de produção;</w:t>
      </w:r>
    </w:p>
    <w:p>
      <w:pPr>
        <w:pStyle w:val="ListBullet"/>
      </w:pPr>
      <w:r>
        <w:t>capacidade;</w:t>
      </w:r>
    </w:p>
    <w:p>
      <w:pPr>
        <w:pStyle w:val="ListBullet"/>
      </w:pPr>
      <w:r>
        <w:t>lead time;</w:t>
      </w:r>
    </w:p>
    <w:p>
      <w:pPr>
        <w:pStyle w:val="ListBullet"/>
      </w:pPr>
      <w:r>
        <w:t>forecast;</w:t>
      </w:r>
    </w:p>
    <w:p>
      <w:pPr>
        <w:pStyle w:val="ListBullet"/>
      </w:pPr>
      <w:r>
        <w:t>eventos;</w:t>
      </w:r>
    </w:p>
    <w:p>
      <w:pPr>
        <w:pStyle w:val="ListBullet"/>
      </w:pPr>
      <w:r>
        <w:t>cadastro de parceiros.</w:t>
      </w:r>
    </w:p>
    <w:p>
      <w:r>
        <w:t>Antes de qualquer análise, verifica:</w:t>
      </w:r>
    </w:p>
    <w:p>
      <w:pPr>
        <w:pStyle w:val="ListBullet"/>
      </w:pPr>
      <w:r>
        <w:t>SKU válido;</w:t>
      </w:r>
    </w:p>
    <w:p>
      <w:pPr>
        <w:pStyle w:val="ListBullet"/>
      </w:pPr>
      <w:r>
        <w:t>datas válidas;</w:t>
      </w:r>
    </w:p>
    <w:p>
      <w:pPr>
        <w:pStyle w:val="ListBullet"/>
      </w:pPr>
      <w:r>
        <w:t>duplicidades;</w:t>
      </w:r>
    </w:p>
    <w:p>
      <w:pPr>
        <w:pStyle w:val="ListBullet"/>
      </w:pPr>
      <w:r>
        <w:t>campos ausentes;</w:t>
      </w:r>
    </w:p>
    <w:p>
      <w:pPr>
        <w:pStyle w:val="ListBullet"/>
      </w:pPr>
      <w:r>
        <w:t>consistência entre sell-in, sell-out e estoque;</w:t>
      </w:r>
    </w:p>
    <w:p>
      <w:pPr>
        <w:pStyle w:val="ListBullet"/>
      </w:pPr>
      <w:r>
        <w:t>cobertura por parceiro, SKU e período;</w:t>
      </w:r>
    </w:p>
    <w:p>
      <w:pPr>
        <w:pStyle w:val="ListBullet"/>
      </w:pPr>
      <w:r>
        <w:t>atualidade e continuidade do envio.</w:t>
      </w:r>
    </w:p>
    <w:p>
      <w:pPr>
        <w:pStyle w:val="Heading2"/>
      </w:pPr>
      <w:r>
        <w:t>Etapa 2 — Cálculos determinísticos</w:t>
      </w:r>
    </w:p>
    <w:p>
      <w:r>
        <w:t>A maior parte da solução será baseada em regras transparentes:</w:t>
      </w:r>
    </w:p>
    <w:p>
      <w:pPr>
        <w:pStyle w:val="ListBullet"/>
      </w:pPr>
      <w:r>
        <w:t>cobertura de estoque;</w:t>
      </w:r>
    </w:p>
    <w:p>
      <w:pPr>
        <w:pStyle w:val="ListBullet"/>
      </w:pPr>
      <w:r>
        <w:t>estoque abaixo do lead time;</w:t>
      </w:r>
    </w:p>
    <w:p>
      <w:pPr>
        <w:pStyle w:val="ListBullet"/>
      </w:pPr>
      <w:r>
        <w:t>estoque abaixo da segurança;</w:t>
      </w:r>
    </w:p>
    <w:p>
      <w:pPr>
        <w:pStyle w:val="ListBullet"/>
      </w:pPr>
      <w:r>
        <w:t>pedidos por SKU;</w:t>
      </w:r>
    </w:p>
    <w:p>
      <w:pPr>
        <w:pStyle w:val="ListBullet"/>
      </w:pPr>
      <w:r>
        <w:t>ordens de produção em andamento;</w:t>
      </w:r>
    </w:p>
    <w:p>
      <w:pPr>
        <w:pStyle w:val="ListBullet"/>
      </w:pPr>
      <w:r>
        <w:t>conclusão posterior à data prometida;</w:t>
      </w:r>
    </w:p>
    <w:p>
      <w:pPr>
        <w:pStyle w:val="ListBullet"/>
      </w:pPr>
      <w:r>
        <w:t>capacidade disponível;</w:t>
      </w:r>
    </w:p>
    <w:p>
      <w:pPr>
        <w:pStyle w:val="ListBullet"/>
      </w:pPr>
      <w:r>
        <w:t>excesso de cobertura;</w:t>
      </w:r>
    </w:p>
    <w:p>
      <w:pPr>
        <w:pStyle w:val="ListBullet"/>
      </w:pPr>
      <w:r>
        <w:t>diferença entre sell-in e sell-out;</w:t>
      </w:r>
    </w:p>
    <w:p>
      <w:pPr>
        <w:pStyle w:val="ListBullet"/>
      </w:pPr>
      <w:r>
        <w:t>cobertura de estoque do parceiro;</w:t>
      </w:r>
    </w:p>
    <w:p>
      <w:pPr>
        <w:pStyle w:val="ListBullet"/>
      </w:pPr>
      <w:r>
        <w:t>quantidade necessária para atendimento.</w:t>
      </w:r>
    </w:p>
    <w:p>
      <w:r>
        <w:t>Exemplos de regras: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E0E6"/>
          <w:left w:val="single" w:sz="4" w:color="D9E0E6"/>
          <w:bottom w:val="single" w:sz="4" w:color="D9E0E6"/>
          <w:right w:val="single" w:sz="4" w:color="D9E0E6"/>
          <w:insideH w:val="single" w:sz="4" w:color="D9E0E6"/>
          <w:insideV w:val="single" w:sz="4" w:color="D9E0E6"/>
        </w:tblBorders>
      </w:tblPr>
      <w:tblGrid>
        <w:gridCol w:w="9547"/>
      </w:tblGrid>
      <w:tr>
        <w:tc>
          <w:tcPr>
            <w:tcW w:type="dxa" w:w="9547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Se cobertura &lt; lead time: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risco de ruptura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Se cobertura &lt; estoque de segurança: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risco crítico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Se existe pedido e não existe ordem: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desalinhamento de produção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Se conclusão da ordem &gt; data prometida: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risco de atraso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Se cobertura &gt; 90 dias: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risco de excesso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Se sell-out não existe: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reduzir a confiança e sinalizar lacuna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Se demanda ou pedidos excedem capacidade: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conflito operacional</w:t>
            </w:r>
          </w:p>
        </w:tc>
      </w:tr>
    </w:tbl>
    <w:p>
      <w:pPr>
        <w:spacing w:after="0"/>
      </w:pPr>
    </w:p>
    <w:p>
      <w:pPr>
        <w:pStyle w:val="Heading2"/>
      </w:pPr>
      <w:r>
        <w:t>Etapa 3 — Identificação de exceções</w:t>
      </w:r>
    </w:p>
    <w:p>
      <w:r>
        <w:t>A solução destaca situações que exigem atenção:</w:t>
      </w:r>
    </w:p>
    <w:p>
      <w:pPr>
        <w:pStyle w:val="ListBullet"/>
      </w:pPr>
      <w:r>
        <w:t>risco de ruptura;</w:t>
      </w:r>
    </w:p>
    <w:p>
      <w:pPr>
        <w:pStyle w:val="ListBullet"/>
      </w:pPr>
      <w:r>
        <w:t>excesso de estoque;</w:t>
      </w:r>
    </w:p>
    <w:p>
      <w:pPr>
        <w:pStyle w:val="ListBullet"/>
      </w:pPr>
      <w:r>
        <w:t>pedido sem produção suficiente;</w:t>
      </w:r>
    </w:p>
    <w:p>
      <w:pPr>
        <w:pStyle w:val="ListBullet"/>
      </w:pPr>
      <w:r>
        <w:t>ordem atrasada em relação à promessa;</w:t>
      </w:r>
    </w:p>
    <w:p>
      <w:pPr>
        <w:pStyle w:val="ListBullet"/>
      </w:pPr>
      <w:r>
        <w:t>demanda crescente ou decrescente;</w:t>
      </w:r>
    </w:p>
    <w:p>
      <w:pPr>
        <w:pStyle w:val="ListBullet"/>
      </w:pPr>
      <w:r>
        <w:t>oportunidade de reposição;</w:t>
      </w:r>
    </w:p>
    <w:p>
      <w:pPr>
        <w:pStyle w:val="ListBullet"/>
      </w:pPr>
      <w:r>
        <w:t>possível estoque parado no parceiro;</w:t>
      </w:r>
    </w:p>
    <w:p>
      <w:pPr>
        <w:pStyle w:val="ListBullet"/>
      </w:pPr>
      <w:r>
        <w:t>baixa confiança por ausência de sell-out;</w:t>
      </w:r>
    </w:p>
    <w:p>
      <w:pPr>
        <w:pStyle w:val="ListBullet"/>
      </w:pPr>
      <w:r>
        <w:t>oportunidade comercial incompatível com a capacidade.</w:t>
      </w:r>
    </w:p>
    <w:p>
      <w:pPr>
        <w:pStyle w:val="Heading2"/>
      </w:pPr>
      <w:r>
        <w:t>Etapa 4 — IA analítica, quando necessária</w:t>
      </w:r>
    </w:p>
    <w:p>
      <w:r>
        <w:t>A IA não será utilizada para refazer cálculos que já podem ser determinados por regras.</w:t>
      </w:r>
    </w:p>
    <w:p>
      <w:r>
        <w:t>Ela será aplicada apenas em tarefas como:</w:t>
      </w:r>
    </w:p>
    <w:p>
      <w:pPr>
        <w:pStyle w:val="ListBullet"/>
      </w:pPr>
      <w:r>
        <w:t>previsão de demanda para SKUs com histórico suficiente;</w:t>
      </w:r>
    </w:p>
    <w:p>
      <w:pPr>
        <w:pStyle w:val="ListBullet"/>
      </w:pPr>
      <w:r>
        <w:t>detecção de anomalias;</w:t>
      </w:r>
    </w:p>
    <w:p>
      <w:pPr>
        <w:pStyle w:val="ListBullet"/>
      </w:pPr>
      <w:r>
        <w:t>classificação de tendência;</w:t>
      </w:r>
    </w:p>
    <w:p>
      <w:pPr>
        <w:pStyle w:val="ListBullet"/>
      </w:pPr>
      <w:r>
        <w:t>estimativa de risco futuro;</w:t>
      </w:r>
    </w:p>
    <w:p>
      <w:pPr>
        <w:pStyle w:val="ListBullet"/>
      </w:pPr>
      <w:r>
        <w:t>identificação de padrões difíceis de capturar por regras simples.</w:t>
      </w:r>
    </w:p>
    <w:p>
      <w:r>
        <w:t>Se os dados não forem suficientes, a resposta deverá ser: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E0E6"/>
          <w:left w:val="single" w:sz="4" w:color="D9E0E6"/>
          <w:bottom w:val="single" w:sz="4" w:color="D9E0E6"/>
          <w:right w:val="single" w:sz="4" w:color="D9E0E6"/>
          <w:insideH w:val="single" w:sz="4" w:color="D9E0E6"/>
          <w:insideV w:val="single" w:sz="4" w:color="D9E0E6"/>
        </w:tblBorders>
      </w:tblPr>
      <w:tblGrid>
        <w:gridCol w:w="9547"/>
      </w:tblGrid>
      <w:tr>
        <w:tc>
          <w:tcPr>
            <w:tcW w:type="dxa" w:w="9547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</w:rPr>
              <w:t>Dados insuficientes para uma previsão ou classificação confiável.</w:t>
            </w:r>
          </w:p>
        </w:tc>
      </w:tr>
    </w:tbl>
    <w:p>
      <w:pPr>
        <w:spacing w:after="0"/>
      </w:pPr>
    </w:p>
    <w:p>
      <w:pPr>
        <w:pStyle w:val="Heading2"/>
      </w:pPr>
      <w:r>
        <w:t>Etapa 5 — Priorização e visualização</w:t>
      </w:r>
    </w:p>
    <w:p>
      <w:r>
        <w:t>O resultado será apresentado em uma visão de prioridades para PCP e Comercial, contendo:</w:t>
      </w:r>
    </w:p>
    <w:p>
      <w:pPr>
        <w:pStyle w:val="ListBullet"/>
      </w:pPr>
      <w:r>
        <w:t>SKU;</w:t>
      </w:r>
    </w:p>
    <w:p>
      <w:pPr>
        <w:pStyle w:val="ListBullet"/>
      </w:pPr>
      <w:r>
        <w:t>produto e família;</w:t>
      </w:r>
    </w:p>
    <w:p>
      <w:pPr>
        <w:pStyle w:val="ListBullet"/>
      </w:pPr>
      <w:r>
        <w:t>canal ou parceiro;</w:t>
      </w:r>
    </w:p>
    <w:p>
      <w:pPr>
        <w:pStyle w:val="ListBullet"/>
      </w:pPr>
      <w:r>
        <w:t>situação identificada;</w:t>
      </w:r>
    </w:p>
    <w:p>
      <w:pPr>
        <w:pStyle w:val="ListBullet"/>
      </w:pPr>
      <w:r>
        <w:t>prioridade;</w:t>
      </w:r>
    </w:p>
    <w:p>
      <w:pPr>
        <w:pStyle w:val="ListBullet"/>
      </w:pPr>
      <w:r>
        <w:t>data crítica, quando disponível;</w:t>
      </w:r>
    </w:p>
    <w:p>
      <w:pPr>
        <w:pStyle w:val="ListBullet"/>
      </w:pPr>
      <w:r>
        <w:t>evidências;</w:t>
      </w:r>
    </w:p>
    <w:p>
      <w:pPr>
        <w:pStyle w:val="ListBullet"/>
      </w:pPr>
      <w:r>
        <w:t>dados observados, estimados e previstos;</w:t>
      </w:r>
    </w:p>
    <w:p>
      <w:pPr>
        <w:pStyle w:val="ListBullet"/>
      </w:pPr>
      <w:r>
        <w:t>nível de confiança;</w:t>
      </w:r>
    </w:p>
    <w:p>
      <w:pPr>
        <w:pStyle w:val="ListBullet"/>
      </w:pPr>
      <w:r>
        <w:t>dados faltantes.</w:t>
      </w:r>
    </w:p>
    <w:p>
      <w:r>
        <w:t>A decisão final permanece com o PCP e as áreas responsáveis.</w:t>
      </w:r>
    </w:p>
    <w:p>
      <w:r>
        <w:t>Não será utilizado chatbot como componente necessário da solução. A interface principal será baseada em indicadores, filtros, listas de exceções e evidências.</w:t>
      </w:r>
    </w:p>
    <w:p>
      <w:pPr>
        <w:pStyle w:val="Heading1"/>
      </w:pPr>
      <w:r>
        <w:t>3. Como as duas frentes se conectam</w:t>
      </w:r>
    </w:p>
    <w:p>
      <w:pPr>
        <w:pStyle w:val="Heading2"/>
      </w:pPr>
      <w:r>
        <w:t>Comercial B2B2C</w:t>
      </w:r>
    </w:p>
    <w:p>
      <w:r>
        <w:t>A frente Comercial organiza a colaboração com os parceiros:</w:t>
      </w:r>
    </w:p>
    <w:p>
      <w:pPr>
        <w:pStyle w:val="ListBullet"/>
      </w:pPr>
      <w:r>
        <w:t>define parceiros prioritários;</w:t>
      </w:r>
    </w:p>
    <w:p>
      <w:pPr>
        <w:pStyle w:val="ListBullet"/>
      </w:pPr>
      <w:r>
        <w:t>recebe sell-out e estoque;</w:t>
      </w:r>
    </w:p>
    <w:p>
      <w:pPr>
        <w:pStyle w:val="ListBullet"/>
      </w:pPr>
      <w:r>
        <w:t>valida a qualidade dos dados;</w:t>
      </w:r>
    </w:p>
    <w:p>
      <w:pPr>
        <w:pStyle w:val="ListBullet"/>
      </w:pPr>
      <w:r>
        <w:t>mede completude, atualidade e consistência;</w:t>
      </w:r>
    </w:p>
    <w:p>
      <w:pPr>
        <w:pStyle w:val="ListBullet"/>
      </w:pPr>
      <w:r>
        <w:t>desenvolve uma proposta de valor proporcional à colaboração.</w:t>
      </w:r>
    </w:p>
    <w:p>
      <w:pPr>
        <w:pStyle w:val="Heading2"/>
      </w:pPr>
      <w:r>
        <w:t>PCP</w:t>
      </w:r>
    </w:p>
    <w:p>
      <w:r>
        <w:t>A frente de PCP utiliza esses dados junto com as informações internas:</w:t>
      </w:r>
    </w:p>
    <w:p>
      <w:pPr>
        <w:pStyle w:val="ListBullet"/>
      </w:pPr>
      <w:r>
        <w:t>pedidos;</w:t>
      </w:r>
    </w:p>
    <w:p>
      <w:pPr>
        <w:pStyle w:val="ListBullet"/>
      </w:pPr>
      <w:r>
        <w:t>estoque do CD;</w:t>
      </w:r>
    </w:p>
    <w:p>
      <w:pPr>
        <w:pStyle w:val="ListBullet"/>
      </w:pPr>
      <w:r>
        <w:t>produção;</w:t>
      </w:r>
    </w:p>
    <w:p>
      <w:pPr>
        <w:pStyle w:val="ListBullet"/>
      </w:pPr>
      <w:r>
        <w:t>capacidade;</w:t>
      </w:r>
    </w:p>
    <w:p>
      <w:pPr>
        <w:pStyle w:val="ListBullet"/>
      </w:pPr>
      <w:r>
        <w:t>lead time;</w:t>
      </w:r>
    </w:p>
    <w:p>
      <w:pPr>
        <w:pStyle w:val="ListBullet"/>
      </w:pPr>
      <w:r>
        <w:t>forecast;</w:t>
      </w:r>
    </w:p>
    <w:p>
      <w:pPr>
        <w:pStyle w:val="ListBullet"/>
      </w:pPr>
      <w:r>
        <w:t>eventos;</w:t>
      </w:r>
    </w:p>
    <w:p>
      <w:pPr>
        <w:pStyle w:val="ListBullet"/>
      </w:pPr>
      <w:r>
        <w:t>histórico de vendas.</w:t>
      </w:r>
    </w:p>
    <w:p>
      <w:pPr>
        <w:pStyle w:val="Heading2"/>
      </w:pPr>
      <w:r>
        <w:t>Resultado da integração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6"/>
          <w:left w:val="single" w:sz="4" w:color="D9E0E6"/>
          <w:bottom w:val="single" w:sz="4" w:color="D9E0E6"/>
          <w:right w:val="single" w:sz="4" w:color="D9E0E6"/>
          <w:insideH w:val="single" w:sz="4" w:color="D9E0E6"/>
          <w:insideV w:val="single" w:sz="4" w:color="D9E0E6"/>
        </w:tblBorders>
      </w:tblPr>
      <w:tblGrid>
        <w:gridCol w:w="9547"/>
      </w:tblGrid>
      <w:tr>
        <w:tc>
          <w:tcPr>
            <w:tcW w:type="dxa" w:w="9547"/>
            <w:vAlign w:val="center"/>
            <w:shd w:fill="EAF0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Parceiro</w:t>
            </w:r>
          </w:p>
        </w:tc>
      </w:tr>
      <w:tr>
        <w:tc>
          <w:tcPr>
            <w:tcW w:type="dxa" w:w="9547"/>
            <w:vAlign w:val="center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color w:val="5B6E81"/>
              </w:rPr>
              <w:t>↓</w:t>
            </w:r>
            <w:r>
              <w:br/>
            </w:r>
            <w:r>
              <w:rPr>
                <w:b/>
                <w:sz w:val="19"/>
              </w:rPr>
              <w:t>Sell-out + estoque</w:t>
            </w:r>
          </w:p>
        </w:tc>
      </w:tr>
      <w:tr>
        <w:tc>
          <w:tcPr>
            <w:tcW w:type="dxa" w:w="9547"/>
            <w:vAlign w:val="center"/>
            <w:shd w:fill="EAF0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color w:val="5B6E81"/>
              </w:rPr>
              <w:t>↓</w:t>
            </w:r>
            <w:r>
              <w:br/>
            </w:r>
            <w:r>
              <w:rPr>
                <w:b/>
                <w:sz w:val="19"/>
              </w:rPr>
              <w:t>Colaboração Comercial</w:t>
            </w:r>
          </w:p>
        </w:tc>
      </w:tr>
      <w:tr>
        <w:tc>
          <w:tcPr>
            <w:tcW w:type="dxa" w:w="9547"/>
            <w:vAlign w:val="center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color w:val="5B6E81"/>
              </w:rPr>
              <w:t>↓</w:t>
            </w:r>
            <w:r>
              <w:br/>
            </w:r>
            <w:r>
              <w:rPr>
                <w:b/>
                <w:sz w:val="19"/>
              </w:rPr>
              <w:t>Dados padronizados e qualidade conhecida</w:t>
            </w:r>
          </w:p>
        </w:tc>
      </w:tr>
      <w:tr>
        <w:tc>
          <w:tcPr>
            <w:tcW w:type="dxa" w:w="9547"/>
            <w:vAlign w:val="center"/>
            <w:shd w:fill="EAF0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color w:val="5B6E81"/>
              </w:rPr>
              <w:t>↓</w:t>
            </w:r>
            <w:r>
              <w:br/>
            </w:r>
            <w:r>
              <w:rPr>
                <w:b/>
                <w:sz w:val="19"/>
              </w:rPr>
              <w:t>Visibilidade B2B2C</w:t>
            </w:r>
          </w:p>
        </w:tc>
      </w:tr>
      <w:tr>
        <w:tc>
          <w:tcPr>
            <w:tcW w:type="dxa" w:w="9547"/>
            <w:vAlign w:val="center"/>
            <w:shd w:fill="F4F6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color w:val="5B6E81"/>
              </w:rPr>
              <w:t>↓</w:t>
            </w:r>
            <w:r>
              <w:br/>
            </w:r>
            <w:r>
              <w:rPr>
                <w:b/>
                <w:sz w:val="19"/>
              </w:rPr>
              <w:t>PCP combina com pedidos, estoque, forecast e capacidade</w:t>
            </w:r>
          </w:p>
        </w:tc>
      </w:tr>
      <w:tr>
        <w:tc>
          <w:tcPr>
            <w:tcW w:type="dxa" w:w="9547"/>
            <w:vAlign w:val="center"/>
            <w:shd w:fill="EAF0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color w:val="5B6E81"/>
              </w:rPr>
              <w:t>↓</w:t>
            </w:r>
            <w:r>
              <w:br/>
            </w:r>
            <w:r>
              <w:rPr>
                <w:b/>
                <w:sz w:val="19"/>
              </w:rPr>
              <w:t>Prioridade de produção e abastecimento</w:t>
            </w:r>
          </w:p>
        </w:tc>
      </w:tr>
    </w:tbl>
    <w:p>
      <w:pPr>
        <w:spacing w:after="0"/>
      </w:pPr>
    </w:p>
    <w:p>
      <w:r>
        <w:t>O Comercial não é uma frente isolada de vendas. Ele amplia a visibilidade que o PCP precisa para decidir. O PCP não é apenas consumidor do dado: ele demonstra se a informação do parceiro realmente alterou ou fortaleceu uma decisão.</w:t>
      </w:r>
    </w:p>
    <w:p>
      <w:pPr>
        <w:pStyle w:val="Heading1"/>
      </w:pPr>
      <w:r>
        <w:t>4. Níveis de colaboração comercial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6"/>
          <w:left w:val="single" w:sz="4" w:color="D9E0E6"/>
          <w:bottom w:val="single" w:sz="4" w:color="D9E0E6"/>
          <w:right w:val="single" w:sz="4" w:color="D9E0E6"/>
          <w:insideH w:val="single" w:sz="4" w:color="D9E0E6"/>
          <w:insideV w:val="single" w:sz="4" w:color="D9E0E6"/>
        </w:tblBorders>
      </w:tblPr>
      <w:tblGrid>
        <w:gridCol w:w="1613"/>
        <w:gridCol w:w="2491"/>
        <w:gridCol w:w="2664"/>
        <w:gridCol w:w="2779"/>
      </w:tblGrid>
      <w:tr>
        <w:trPr>
          <w:tblHeader w:val="true"/>
          <w:cantSplit/>
        </w:trPr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445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Nível</w:t>
            </w:r>
          </w:p>
        </w:tc>
        <w:tc>
          <w:tcPr>
            <w:tcW w:type="dxa" w:w="24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445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Dados compartilhados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445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Valor potencial para o Caderno</w:t>
            </w:r>
          </w:p>
        </w:tc>
        <w:tc>
          <w:tcPr>
            <w:tcW w:type="dxa" w:w="27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445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Valor potencial para o parceiro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7"/>
              </w:rPr>
              <w:t>Essencial</w:t>
            </w:r>
          </w:p>
        </w:tc>
        <w:tc>
          <w:tcPr>
            <w:tcW w:type="dxa" w:w="24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7"/>
              </w:rPr>
              <w:t>Sell-out periódico por SKU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7"/>
              </w:rPr>
              <w:t>Visão básica de giro e demanda</w:t>
            </w:r>
          </w:p>
        </w:tc>
        <w:tc>
          <w:tcPr>
            <w:tcW w:type="dxa" w:w="27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7"/>
              </w:rPr>
              <w:t>Relatórios e recomendações de mix/reposição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7"/>
              </w:rPr>
              <w:t>Conectado</w:t>
            </w:r>
          </w:p>
        </w:tc>
        <w:tc>
          <w:tcPr>
            <w:tcW w:type="dxa" w:w="24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7"/>
              </w:rPr>
              <w:t>Sell-out mais frequente e estoque por SKU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7"/>
              </w:rPr>
              <w:t>Detecção de risco de ruptura ou excesso</w:t>
            </w:r>
          </w:p>
        </w:tc>
        <w:tc>
          <w:tcPr>
            <w:tcW w:type="dxa" w:w="27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7"/>
              </w:rPr>
              <w:t>Planejamento conjunto e alertas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7"/>
              </w:rPr>
              <w:t>Estratégico</w:t>
            </w:r>
          </w:p>
        </w:tc>
        <w:tc>
          <w:tcPr>
            <w:tcW w:type="dxa" w:w="24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7"/>
              </w:rPr>
              <w:t>Sell-out e estoque com maior frequência, cobertura e consistência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7"/>
              </w:rPr>
              <w:t>Planejamento mais antecipado e confiável</w:t>
            </w:r>
          </w:p>
        </w:tc>
        <w:tc>
          <w:tcPr>
            <w:tcW w:type="dxa" w:w="27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7"/>
              </w:rPr>
              <w:t>Maior previsibilidade e benefícios diferenciados</w:t>
            </w:r>
          </w:p>
        </w:tc>
      </w:tr>
    </w:tbl>
    <w:p>
      <w:pPr>
        <w:spacing w:after="0"/>
      </w:pPr>
    </w:p>
    <w:p>
      <w:r>
        <w:t>A frequência definitiva ainda não está definida. A qualidade deve considerar:</w:t>
      </w:r>
    </w:p>
    <w:p>
      <w:pPr>
        <w:pStyle w:val="ListBullet"/>
      </w:pPr>
      <w:r>
        <w:t>latência;</w:t>
      </w:r>
    </w:p>
    <w:p>
      <w:pPr>
        <w:pStyle w:val="ListBullet"/>
      </w:pPr>
      <w:r>
        <w:t>completude;</w:t>
      </w:r>
    </w:p>
    <w:p>
      <w:pPr>
        <w:pStyle w:val="ListBullet"/>
      </w:pPr>
      <w:r>
        <w:t>cobertura;</w:t>
      </w:r>
    </w:p>
    <w:p>
      <w:pPr>
        <w:pStyle w:val="ListBullet"/>
      </w:pPr>
      <w:r>
        <w:t>frequência;</w:t>
      </w:r>
    </w:p>
    <w:p>
      <w:pPr>
        <w:pStyle w:val="ListBullet"/>
      </w:pPr>
      <w:r>
        <w:t>consistência;</w:t>
      </w:r>
    </w:p>
    <w:p>
      <w:pPr>
        <w:pStyle w:val="ListBullet"/>
      </w:pPr>
      <w:r>
        <w:t>erros e duplicidades;</w:t>
      </w:r>
    </w:p>
    <w:p>
      <w:pPr>
        <w:pStyle w:val="ListBullet"/>
      </w:pPr>
      <w:r>
        <w:t>continuidade.</w:t>
      </w:r>
    </w:p>
    <w:p>
      <w:r>
        <w:t>A existência de um feed não será considerada suficiente. O dado precisa melhorar uma decisão ou reduzir sua incerteza.</w:t>
      </w:r>
    </w:p>
    <w:p>
      <w:pPr>
        <w:pStyle w:val="Heading1"/>
      </w:pPr>
      <w:r>
        <w:t>5. Atendimento aos requisitos do desafio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6"/>
          <w:left w:val="single" w:sz="4" w:color="D9E0E6"/>
          <w:bottom w:val="single" w:sz="4" w:color="D9E0E6"/>
          <w:right w:val="single" w:sz="4" w:color="D9E0E6"/>
          <w:insideH w:val="single" w:sz="4" w:color="D9E0E6"/>
          <w:insideV w:val="single" w:sz="4" w:color="D9E0E6"/>
        </w:tblBorders>
      </w:tblPr>
      <w:tblGrid>
        <w:gridCol w:w="3816"/>
        <w:gridCol w:w="5731"/>
      </w:tblGrid>
      <w:tr>
        <w:trPr>
          <w:tblHeader w:val="true"/>
          <w:cantSplit/>
        </w:trPr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445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57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445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Como será atendido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Integrar vendas, parceiros, produtos, estoque e produção</w:t>
            </w:r>
          </w:p>
        </w:tc>
        <w:tc>
          <w:tcPr>
            <w:tcW w:type="dxa" w:w="57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Consolidação de dados internos e colaborativos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Relacionar sell-in e sell-out</w:t>
            </w:r>
          </w:p>
        </w:tc>
        <w:tc>
          <w:tcPr>
            <w:tcW w:type="dxa" w:w="57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Comparação onde houver cobertura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Identificar lacunas</w:t>
            </w:r>
          </w:p>
        </w:tc>
        <w:tc>
          <w:tcPr>
            <w:tcW w:type="dxa" w:w="57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Indicação de ausência, cobertura parcial e confiança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Identificar padrões de demanda</w:t>
            </w:r>
          </w:p>
        </w:tc>
        <w:tc>
          <w:tcPr>
            <w:tcW w:type="dxa" w:w="57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Histórico, giro, recência, tendência e sazonalidade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Analisar estoque</w:t>
            </w:r>
          </w:p>
        </w:tc>
        <w:tc>
          <w:tcPr>
            <w:tcW w:type="dxa" w:w="57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Cobertura, estoque de segurança e estoque do parceiro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Identificar aumento ou redução</w:t>
            </w:r>
          </w:p>
        </w:tc>
        <w:tc>
          <w:tcPr>
            <w:tcW w:type="dxa" w:w="57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Comparação histórica e modelo analítico quando aplicável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Prever demanda com histórico suficiente</w:t>
            </w:r>
          </w:p>
        </w:tc>
        <w:tc>
          <w:tcPr>
            <w:tcW w:type="dxa" w:w="57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Modelo preditivo restrito aos casos adequados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Sinalizar dados insuficientes</w:t>
            </w:r>
          </w:p>
        </w:tc>
        <w:tc>
          <w:tcPr>
            <w:tcW w:type="dxa" w:w="57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Confiança reduzida e mensagem explícita de insuficiência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Identificar oportunidades comerciais</w:t>
            </w:r>
          </w:p>
        </w:tc>
        <w:tc>
          <w:tcPr>
            <w:tcW w:type="dxa" w:w="57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Giro e reposição observados no parceiro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Identificar riscos operacionais</w:t>
            </w:r>
          </w:p>
        </w:tc>
        <w:tc>
          <w:tcPr>
            <w:tcW w:type="dxa" w:w="57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Ruptura, excesso, atraso e capacidade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Priorizar produção</w:t>
            </w:r>
          </w:p>
        </w:tc>
        <w:tc>
          <w:tcPr>
            <w:tcW w:type="dxa" w:w="57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Regras de pedidos, estoque, lead time e capacidade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Priorizar parceiros ou regiões</w:t>
            </w:r>
          </w:p>
        </w:tc>
        <w:tc>
          <w:tcPr>
            <w:tcW w:type="dxa" w:w="57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Uso desses atributos quando disponíveis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Conectar Comercial e Operações</w:t>
            </w:r>
          </w:p>
        </w:tc>
        <w:tc>
          <w:tcPr>
            <w:tcW w:type="dxa" w:w="57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Oportunidade comercial confrontada com viabilidade produtiva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Exibir evidências</w:t>
            </w:r>
          </w:p>
        </w:tc>
        <w:tc>
          <w:tcPr>
            <w:tcW w:type="dxa" w:w="57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Toda prioridade terá dados e critérios visíveis</w:t>
            </w:r>
          </w:p>
        </w:tc>
      </w:tr>
    </w:tbl>
    <w:p>
      <w:pPr>
        <w:spacing w:after="0"/>
      </w:pPr>
    </w:p>
    <w:p>
      <w:r>
        <w:t>O núcleo da solução será a priorização explicável, sem exigir que todos os parceiros tenham o mesmo nível de integração.</w:t>
      </w:r>
    </w:p>
    <w:p>
      <w:pPr>
        <w:pStyle w:val="Heading1"/>
      </w:pPr>
      <w:r>
        <w:t>6. Papel da Inteligência Artificial</w:t>
      </w:r>
    </w:p>
    <w:p>
      <w:pPr>
        <w:pStyle w:val="Heading2"/>
      </w:pPr>
      <w:r>
        <w:t>6.1 Decisão sobre o uso da IA</w:t>
      </w:r>
    </w:p>
    <w:p>
      <w:r>
        <w:t xml:space="preserve">A solução será </w:t>
      </w:r>
      <w:r>
        <w:rPr>
          <w:b/>
        </w:rPr>
        <w:t>predominantemente determinística</w:t>
      </w:r>
      <w:r>
        <w:t>, com IA analítica somente quando houver uma tarefa que não seja bem resolvida por regras simples.</w:t>
      </w:r>
    </w:p>
    <w:p>
      <w:r>
        <w:t>Não haverá IA conversacional no primeiro protótipo.</w:t>
      </w:r>
    </w:p>
    <w:p>
      <w:pPr>
        <w:pStyle w:val="Heading2"/>
      </w:pPr>
      <w:r>
        <w:t>6.2 Onde a IA poderá ser aplicada</w:t>
      </w:r>
    </w:p>
    <w:p>
      <w:pPr>
        <w:pStyle w:val="Heading3"/>
      </w:pPr>
      <w:r>
        <w:t>Previsão de demanda</w:t>
      </w:r>
    </w:p>
    <w:p>
      <w:r>
        <w:t>Para SKUs e canais com histórico suficiente, a IA poderá estimar:</w:t>
      </w:r>
    </w:p>
    <w:p>
      <w:pPr>
        <w:pStyle w:val="ListBullet"/>
      </w:pPr>
      <w:r>
        <w:t>demanda futura;</w:t>
      </w:r>
    </w:p>
    <w:p>
      <w:pPr>
        <w:pStyle w:val="ListBullet"/>
      </w:pPr>
      <w:r>
        <w:t>tendência;</w:t>
      </w:r>
    </w:p>
    <w:p>
      <w:pPr>
        <w:pStyle w:val="ListBullet"/>
      </w:pPr>
      <w:r>
        <w:t>sazonalidade;</w:t>
      </w:r>
    </w:p>
    <w:p>
      <w:pPr>
        <w:pStyle w:val="ListBullet"/>
      </w:pPr>
      <w:r>
        <w:t>intervalo de confiança;</w:t>
      </w:r>
    </w:p>
    <w:p>
      <w:pPr>
        <w:pStyle w:val="ListBullet"/>
      </w:pPr>
      <w:r>
        <w:t>risco de aumento ou redução.</w:t>
      </w:r>
    </w:p>
    <w:p>
      <w:pPr>
        <w:pStyle w:val="Heading3"/>
      </w:pPr>
      <w:r>
        <w:t>Detecção de anomalias</w:t>
      </w:r>
    </w:p>
    <w:p>
      <w:r>
        <w:t>A IA poderá identificar:</w:t>
      </w:r>
    </w:p>
    <w:p>
      <w:pPr>
        <w:pStyle w:val="ListBullet"/>
      </w:pPr>
      <w:r>
        <w:t>sell-in muito acima do sell-out;</w:t>
      </w:r>
    </w:p>
    <w:p>
      <w:pPr>
        <w:pStyle w:val="ListBullet"/>
      </w:pPr>
      <w:r>
        <w:t>estoque elevado com baixo giro;</w:t>
      </w:r>
    </w:p>
    <w:p>
      <w:pPr>
        <w:pStyle w:val="ListBullet"/>
      </w:pPr>
      <w:r>
        <w:t>queda abrupta de vendas;</w:t>
      </w:r>
    </w:p>
    <w:p>
      <w:pPr>
        <w:pStyle w:val="ListBullet"/>
      </w:pPr>
      <w:r>
        <w:t>demanda fora do padrão;</w:t>
      </w:r>
    </w:p>
    <w:p>
      <w:pPr>
        <w:pStyle w:val="ListBullet"/>
      </w:pPr>
      <w:r>
        <w:t>comportamento atípico de parceiro;</w:t>
      </w:r>
    </w:p>
    <w:p>
      <w:pPr>
        <w:pStyle w:val="ListBullet"/>
      </w:pPr>
      <w:r>
        <w:t>pedidos incompatíveis com histórico ou produção.</w:t>
      </w:r>
    </w:p>
    <w:p>
      <w:pPr>
        <w:pStyle w:val="Heading3"/>
      </w:pPr>
      <w:r>
        <w:t>Classificação preditiva de risco</w:t>
      </w:r>
    </w:p>
    <w:p>
      <w:r>
        <w:t>Em uma etapa posterior, poderá estimar a probabilidade de:</w:t>
      </w:r>
    </w:p>
    <w:p>
      <w:pPr>
        <w:pStyle w:val="ListBullet"/>
      </w:pPr>
      <w:r>
        <w:t>ruptura;</w:t>
      </w:r>
    </w:p>
    <w:p>
      <w:pPr>
        <w:pStyle w:val="ListBullet"/>
      </w:pPr>
      <w:r>
        <w:t>atraso;</w:t>
      </w:r>
    </w:p>
    <w:p>
      <w:pPr>
        <w:pStyle w:val="ListBullet"/>
      </w:pPr>
      <w:r>
        <w:t>excesso;</w:t>
      </w:r>
    </w:p>
    <w:p>
      <w:pPr>
        <w:pStyle w:val="ListBullet"/>
      </w:pPr>
      <w:r>
        <w:t>perda de venda.</w:t>
      </w:r>
    </w:p>
    <w:p>
      <w:r>
        <w:t>Essa aplicação depende de histórico suficiente de eventos realizados e não é obrigatória para a primeira versão.</w:t>
      </w:r>
    </w:p>
    <w:p>
      <w:pPr>
        <w:pStyle w:val="Heading2"/>
      </w:pPr>
      <w:r>
        <w:t>6.3 O que permanecerá determinístico</w:t>
      </w:r>
    </w:p>
    <w:p>
      <w:pPr>
        <w:pStyle w:val="ListBullet"/>
      </w:pPr>
      <w:r>
        <w:t>cobertura;</w:t>
      </w:r>
    </w:p>
    <w:p>
      <w:pPr>
        <w:pStyle w:val="ListBullet"/>
      </w:pPr>
      <w:r>
        <w:t>estoque de segurança;</w:t>
      </w:r>
    </w:p>
    <w:p>
      <w:pPr>
        <w:pStyle w:val="ListBullet"/>
      </w:pPr>
      <w:r>
        <w:t>lead time;</w:t>
      </w:r>
    </w:p>
    <w:p>
      <w:pPr>
        <w:pStyle w:val="ListBullet"/>
      </w:pPr>
      <w:r>
        <w:t>pedidos;</w:t>
      </w:r>
    </w:p>
    <w:p>
      <w:pPr>
        <w:pStyle w:val="ListBullet"/>
      </w:pPr>
      <w:r>
        <w:t>datas prometidas;</w:t>
      </w:r>
    </w:p>
    <w:p>
      <w:pPr>
        <w:pStyle w:val="ListBullet"/>
      </w:pPr>
      <w:r>
        <w:t>ordens de produção;</w:t>
      </w:r>
    </w:p>
    <w:p>
      <w:pPr>
        <w:pStyle w:val="ListBullet"/>
      </w:pPr>
      <w:r>
        <w:t>capacidade;</w:t>
      </w:r>
    </w:p>
    <w:p>
      <w:pPr>
        <w:pStyle w:val="ListBullet"/>
      </w:pPr>
      <w:r>
        <w:t>lote mínimo;</w:t>
      </w:r>
    </w:p>
    <w:p>
      <w:pPr>
        <w:pStyle w:val="ListBullet"/>
      </w:pPr>
      <w:r>
        <w:t>regras de prioridade;</w:t>
      </w:r>
    </w:p>
    <w:p>
      <w:pPr>
        <w:pStyle w:val="ListBullet"/>
      </w:pPr>
      <w:r>
        <w:t>identificação de dados ausentes.</w:t>
      </w:r>
    </w:p>
    <w:p>
      <w:pPr>
        <w:pStyle w:val="Heading2"/>
      </w:pPr>
      <w:r>
        <w:t>6.4 Por que usar IA?</w:t>
      </w:r>
    </w:p>
    <w:p>
      <w:r>
        <w:t>A IA pode agregar valor quando houver padrões, tendências ou anomalias difíceis de capturar por regras fixas.</w:t>
      </w:r>
    </w:p>
    <w:p>
      <w:r>
        <w:t>Ela não será utilizada para “conversar com a planilha” ou substituir o PCP. Sua função será limitada a tarefas analíticas mensuráveis.</w:t>
      </w:r>
    </w:p>
    <w:p>
      <w:pPr>
        <w:pStyle w:val="Heading2"/>
      </w:pPr>
      <w:r>
        <w:t>Formulação para a apresentação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E0E6"/>
          <w:left w:val="single" w:sz="4" w:color="D9E0E6"/>
          <w:bottom w:val="single" w:sz="4" w:color="D9E0E6"/>
          <w:right w:val="single" w:sz="4" w:color="D9E0E6"/>
          <w:insideH w:val="single" w:sz="4" w:color="D9E0E6"/>
          <w:insideV w:val="single" w:sz="4" w:color="D9E0E6"/>
        </w:tblBorders>
      </w:tblPr>
      <w:tblGrid>
        <w:gridCol w:w="9547"/>
      </w:tblGrid>
      <w:tr>
        <w:tc>
          <w:tcPr>
            <w:tcW w:type="dxa" w:w="9547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</w:rPr>
              <w:t>A IA estará na solução como componente analítico delimitado, apoiando previsão e detecção de anomalias quando houver dados suficientes. O núcleo da priorização será determinístico e auditável, e a decisão final permanecerá com o PCP.</w:t>
            </w:r>
          </w:p>
        </w:tc>
      </w:tr>
    </w:tbl>
    <w:p>
      <w:pPr>
        <w:spacing w:after="0"/>
      </w:pPr>
    </w:p>
    <w:p>
      <w:pPr>
        <w:pStyle w:val="Heading1"/>
      </w:pPr>
      <w:r>
        <w:t>7. Resultado atual e linha de base</w:t>
      </w:r>
    </w:p>
    <w:p>
      <w:pPr>
        <w:pStyle w:val="Heading2"/>
      </w:pPr>
      <w:r>
        <w:t>Indicadores informados pela empresa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6"/>
          <w:left w:val="single" w:sz="4" w:color="D9E0E6"/>
          <w:bottom w:val="single" w:sz="4" w:color="D9E0E6"/>
          <w:right w:val="single" w:sz="4" w:color="D9E0E6"/>
          <w:insideH w:val="single" w:sz="4" w:color="D9E0E6"/>
          <w:insideV w:val="single" w:sz="4" w:color="D9E0E6"/>
        </w:tblBorders>
      </w:tblPr>
      <w:tblGrid>
        <w:gridCol w:w="4003"/>
        <w:gridCol w:w="2750"/>
        <w:gridCol w:w="2794"/>
      </w:tblGrid>
      <w:tr>
        <w:trPr>
          <w:tblHeader w:val="true"/>
          <w:cantSplit/>
        </w:trPr>
        <w:tc>
          <w:tcPr>
            <w:tcW w:type="dxa" w:w="40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445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27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445F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Resultado atual informado</w:t>
            </w:r>
          </w:p>
        </w:tc>
        <w:tc>
          <w:tcPr>
            <w:tcW w:type="dxa" w:w="2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445F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Meta de referência</w:t>
            </w:r>
          </w:p>
        </w:tc>
      </w:tr>
      <w:tr>
        <w:trPr>
          <w:cantSplit/>
        </w:trPr>
        <w:tc>
          <w:tcPr>
            <w:tcW w:type="dxa" w:w="40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Pedidos atendidos no prazo</w:t>
            </w:r>
          </w:p>
        </w:tc>
        <w:tc>
          <w:tcPr>
            <w:tcW w:type="dxa" w:w="27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232A32"/>
                <w:sz w:val="18"/>
              </w:rPr>
              <w:t>89%</w:t>
            </w:r>
          </w:p>
        </w:tc>
        <w:tc>
          <w:tcPr>
            <w:tcW w:type="dxa" w:w="2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232A32"/>
                <w:sz w:val="18"/>
              </w:rPr>
              <w:t>≥ 96%</w:t>
            </w:r>
          </w:p>
        </w:tc>
      </w:tr>
      <w:tr>
        <w:trPr>
          <w:cantSplit/>
        </w:trPr>
        <w:tc>
          <w:tcPr>
            <w:tcW w:type="dxa" w:w="40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MAPE do forecast</w:t>
            </w:r>
          </w:p>
        </w:tc>
        <w:tc>
          <w:tcPr>
            <w:tcW w:type="dxa" w:w="27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232A32"/>
                <w:sz w:val="18"/>
              </w:rPr>
              <w:t>31%</w:t>
            </w:r>
          </w:p>
        </w:tc>
        <w:tc>
          <w:tcPr>
            <w:tcW w:type="dxa" w:w="2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232A32"/>
                <w:sz w:val="18"/>
              </w:rPr>
              <w:t>≤ 20%</w:t>
            </w:r>
          </w:p>
        </w:tc>
      </w:tr>
      <w:tr>
        <w:trPr>
          <w:cantSplit/>
        </w:trPr>
        <w:tc>
          <w:tcPr>
            <w:tcW w:type="dxa" w:w="40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Aderência ao plano de produção</w:t>
            </w:r>
          </w:p>
        </w:tc>
        <w:tc>
          <w:tcPr>
            <w:tcW w:type="dxa" w:w="27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232A32"/>
                <w:sz w:val="18"/>
              </w:rPr>
              <w:t>78%</w:t>
            </w:r>
          </w:p>
        </w:tc>
        <w:tc>
          <w:tcPr>
            <w:tcW w:type="dxa" w:w="2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232A32"/>
                <w:sz w:val="18"/>
              </w:rPr>
              <w:t>≥ 90%</w:t>
            </w:r>
          </w:p>
        </w:tc>
      </w:tr>
      <w:tr>
        <w:trPr>
          <w:cantSplit/>
        </w:trPr>
        <w:tc>
          <w:tcPr>
            <w:tcW w:type="dxa" w:w="40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Rupturas mensais da amostra</w:t>
            </w:r>
          </w:p>
        </w:tc>
        <w:tc>
          <w:tcPr>
            <w:tcW w:type="dxa" w:w="27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232A32"/>
                <w:sz w:val="18"/>
              </w:rPr>
              <w:t>14 SKUs</w:t>
            </w:r>
          </w:p>
        </w:tc>
        <w:tc>
          <w:tcPr>
            <w:tcW w:type="dxa" w:w="2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232A32"/>
                <w:sz w:val="18"/>
              </w:rPr>
              <w:t>≤ 6 SKUs</w:t>
            </w:r>
          </w:p>
        </w:tc>
      </w:tr>
      <w:tr>
        <w:trPr>
          <w:cantSplit/>
        </w:trPr>
        <w:tc>
          <w:tcPr>
            <w:tcW w:type="dxa" w:w="40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SKUs com cobertura acima de 90 dias</w:t>
            </w:r>
          </w:p>
        </w:tc>
        <w:tc>
          <w:tcPr>
            <w:tcW w:type="dxa" w:w="27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232A32"/>
                <w:sz w:val="18"/>
              </w:rPr>
              <w:t>18%</w:t>
            </w:r>
          </w:p>
        </w:tc>
        <w:tc>
          <w:tcPr>
            <w:tcW w:type="dxa" w:w="2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232A32"/>
                <w:sz w:val="18"/>
              </w:rPr>
              <w:t>≤ 10%</w:t>
            </w:r>
          </w:p>
        </w:tc>
      </w:tr>
      <w:tr>
        <w:trPr>
          <w:cantSplit/>
        </w:trPr>
        <w:tc>
          <w:tcPr>
            <w:tcW w:type="dxa" w:w="40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Tempo manual de análise do PCP</w:t>
            </w:r>
          </w:p>
        </w:tc>
        <w:tc>
          <w:tcPr>
            <w:tcW w:type="dxa" w:w="27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232A32"/>
                <w:sz w:val="18"/>
              </w:rPr>
              <w:t>22 h/semana</w:t>
            </w:r>
          </w:p>
        </w:tc>
        <w:tc>
          <w:tcPr>
            <w:tcW w:type="dxa" w:w="2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232A32"/>
                <w:sz w:val="18"/>
              </w:rPr>
              <w:t>≤ 8 h/semana</w:t>
            </w:r>
          </w:p>
        </w:tc>
      </w:tr>
    </w:tbl>
    <w:p>
      <w:pPr>
        <w:spacing w:after="0"/>
      </w:pPr>
    </w:p>
    <w:p>
      <w:r>
        <w:t>Esses indicadores são informados pela base fictícia. O grupo não recalcula todos eles a partir das tabelas transacionais.</w:t>
      </w:r>
    </w:p>
    <w:p>
      <w:pPr>
        <w:pStyle w:val="Heading2"/>
      </w:pPr>
      <w:r>
        <w:t>Evidências calculadas pelo grupo</w:t>
      </w:r>
    </w:p>
    <w:p>
      <w:pPr>
        <w:pStyle w:val="ListBullet"/>
      </w:pPr>
      <w:r>
        <w:t>32 de 40 SKUs com pedido apresentam ausência de ordem ou conclusão posterior à data prometida;</w:t>
      </w:r>
    </w:p>
    <w:p>
      <w:pPr>
        <w:pStyle w:val="ListBullet"/>
      </w:pPr>
      <w:r>
        <w:t>15 de 50 SKUs têm cobertura inferior ao lead time;</w:t>
      </w:r>
    </w:p>
    <w:p>
      <w:pPr>
        <w:pStyle w:val="ListBullet"/>
      </w:pPr>
      <w:r>
        <w:t>13 de 50 estão abaixo do estoque de segurança;</w:t>
      </w:r>
    </w:p>
    <w:p>
      <w:pPr>
        <w:pStyle w:val="ListBullet"/>
      </w:pPr>
      <w:r>
        <w:t>6 de 50 têm 110 dias de cobertura;</w:t>
      </w:r>
    </w:p>
    <w:p>
      <w:pPr>
        <w:pStyle w:val="ListBullet"/>
      </w:pPr>
      <w:r>
        <w:t>a linha Escolar teve ocupação média de 93,2% em 16 semanas;</w:t>
      </w:r>
    </w:p>
    <w:p>
      <w:pPr>
        <w:pStyle w:val="ListBullet"/>
      </w:pPr>
      <w:r>
        <w:t>sell-out está disponível para 50 de 250 pares parceiro × SKU, ou 20%;</w:t>
      </w:r>
    </w:p>
    <w:p>
      <w:pPr>
        <w:pStyle w:val="ListBullet"/>
      </w:pPr>
      <w:r>
        <w:t>a diferença acumulada entre sell-in e sell-out no recorte coberto é de 1.524 unidades.</w:t>
      </w:r>
    </w:p>
    <w:p>
      <w:pPr>
        <w:pStyle w:val="Heading1"/>
      </w:pPr>
      <w:r>
        <w:t>8. Métricas de sucesso e metas</w:t>
      </w:r>
    </w:p>
    <w:p>
      <w:pPr>
        <w:pStyle w:val="Heading2"/>
      </w:pPr>
      <w:r>
        <w:t>Métrica principal</w:t>
      </w:r>
    </w:p>
    <w:p>
      <w:r>
        <w:rPr>
          <w:b/>
        </w:rPr>
        <w:t>Tempo semanal de análise e priorização do PCP</w:t>
      </w:r>
    </w:p>
    <w:p>
      <w:pPr>
        <w:pStyle w:val="ListBullet"/>
      </w:pPr>
      <w:r>
        <w:t>Linha de base: 22 horas por semana.</w:t>
      </w:r>
    </w:p>
    <w:p>
      <w:pPr>
        <w:pStyle w:val="ListBullet"/>
      </w:pPr>
      <w:r>
        <w:t>Meta de referência: até 8 horas por semana.</w:t>
      </w:r>
    </w:p>
    <w:p>
      <w:r>
        <w:t>Essa métrica está diretamente ligada à dor identificada e pode ser avaliada antes de existir histórico suficiente para confirmar impacto em rupturas ou estoque.</w:t>
      </w:r>
    </w:p>
    <w:p>
      <w:pPr>
        <w:pStyle w:val="Heading2"/>
      </w:pPr>
      <w:r>
        <w:t>Métricas de impacto operacional</w:t>
      </w:r>
    </w:p>
    <w:p>
      <w:pPr>
        <w:pStyle w:val="ListBullet"/>
      </w:pPr>
      <w:r>
        <w:t>pedidos no prazo: de 89% para pelo menos 96%;</w:t>
      </w:r>
    </w:p>
    <w:p>
      <w:pPr>
        <w:pStyle w:val="ListBullet"/>
      </w:pPr>
      <w:r>
        <w:t>aderência ao plano: de 78% para pelo menos 90%;</w:t>
      </w:r>
    </w:p>
    <w:p>
      <w:pPr>
        <w:pStyle w:val="ListBullet"/>
      </w:pPr>
      <w:r>
        <w:t>rupturas: de 14 para no máximo 6 SKUs;</w:t>
      </w:r>
    </w:p>
    <w:p>
      <w:pPr>
        <w:pStyle w:val="ListBullet"/>
      </w:pPr>
      <w:r>
        <w:t>cobertura acima de 90 dias: de 18% para no máximo 10%.</w:t>
      </w:r>
    </w:p>
    <w:p>
      <w:r>
        <w:t>Essas metas são referências de negócio, não resultados garantidos do Sprint.</w:t>
      </w:r>
    </w:p>
    <w:p>
      <w:pPr>
        <w:pStyle w:val="Heading2"/>
      </w:pPr>
      <w:r>
        <w:t>Métricas da colaboração comercial</w:t>
      </w:r>
    </w:p>
    <w:p>
      <w:pPr>
        <w:pStyle w:val="ListBullet"/>
      </w:pPr>
      <w:r>
        <w:t>cobertura de sell-out, partindo dos 20% atuais;</w:t>
      </w:r>
    </w:p>
    <w:p>
      <w:pPr>
        <w:pStyle w:val="ListBullet"/>
      </w:pPr>
      <w:r>
        <w:t>parceiros participantes;</w:t>
      </w:r>
    </w:p>
    <w:p>
      <w:pPr>
        <w:pStyle w:val="ListBullet"/>
      </w:pPr>
      <w:r>
        <w:t>completude dos SKUs e períodos;</w:t>
      </w:r>
    </w:p>
    <w:p>
      <w:pPr>
        <w:pStyle w:val="ListBullet"/>
      </w:pPr>
      <w:r>
        <w:t>atualidade do dado;</w:t>
      </w:r>
    </w:p>
    <w:p>
      <w:pPr>
        <w:pStyle w:val="ListBullet"/>
      </w:pPr>
      <w:r>
        <w:t>consistência entre sell-in, sell-out e estoque;</w:t>
      </w:r>
    </w:p>
    <w:p>
      <w:pPr>
        <w:pStyle w:val="ListBullet"/>
      </w:pPr>
      <w:r>
        <w:t>continuidade dos envios;</w:t>
      </w:r>
    </w:p>
    <w:p>
      <w:pPr>
        <w:pStyle w:val="ListBullet"/>
      </w:pPr>
      <w:r>
        <w:t>redução de situações de baixa confiança.</w:t>
      </w:r>
    </w:p>
    <w:p>
      <w:pPr>
        <w:pStyle w:val="Heading2"/>
      </w:pPr>
      <w:r>
        <w:t>Métrica de conexão entre as frentes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E0E6"/>
          <w:left w:val="single" w:sz="4" w:color="D9E0E6"/>
          <w:bottom w:val="single" w:sz="4" w:color="D9E0E6"/>
          <w:right w:val="single" w:sz="4" w:color="D9E0E6"/>
          <w:insideH w:val="single" w:sz="4" w:color="D9E0E6"/>
          <w:insideV w:val="single" w:sz="4" w:color="D9E0E6"/>
        </w:tblBorders>
      </w:tblPr>
      <w:tblGrid>
        <w:gridCol w:w="9547"/>
      </w:tblGrid>
      <w:tr>
        <w:tc>
          <w:tcPr>
            <w:tcW w:type="dxa" w:w="9547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</w:rPr>
              <w:t>Percentual de decisões de priorização que foram alteradas ou ganharam maior confiança após a inclusão de sell-out e estoque do parceiro.</w:t>
            </w:r>
          </w:p>
        </w:tc>
      </w:tr>
    </w:tbl>
    <w:p>
      <w:pPr>
        <w:spacing w:after="0"/>
      </w:pPr>
    </w:p>
    <w:p>
      <w:r>
        <w:t>A existência do dado não é suficiente. Ele precisa alterar ou fortalecer uma decisão.</w:t>
      </w:r>
    </w:p>
    <w:p>
      <w:pPr>
        <w:pStyle w:val="Heading2"/>
      </w:pPr>
      <w:r>
        <w:t>Métricas específicas da IA</w:t>
      </w:r>
    </w:p>
    <w:p>
      <w:pPr>
        <w:pStyle w:val="ListBullet"/>
      </w:pPr>
      <w:r>
        <w:t>acurácia da previsão em SKUs elegíveis;</w:t>
      </w:r>
    </w:p>
    <w:p>
      <w:pPr>
        <w:pStyle w:val="ListBullet"/>
      </w:pPr>
      <w:r>
        <w:t>taxa de detecção correta de anomalias;</w:t>
      </w:r>
    </w:p>
    <w:p>
      <w:pPr>
        <w:pStyle w:val="ListBullet"/>
      </w:pPr>
      <w:r>
        <w:t>percentual de alertas úteis para o PCP;</w:t>
      </w:r>
    </w:p>
    <w:p>
      <w:pPr>
        <w:pStyle w:val="ListBullet"/>
      </w:pPr>
      <w:r>
        <w:t>percentual de casos em que o modelo sinaliza corretamente insuficiência de dados;</w:t>
      </w:r>
    </w:p>
    <w:p>
      <w:pPr>
        <w:pStyle w:val="ListBullet"/>
      </w:pPr>
      <w:r>
        <w:t>redução de erros em relação a uma regra simples de referência.</w:t>
      </w:r>
    </w:p>
    <w:p>
      <w:r>
        <w:t>Se a IA não superar uma abordagem determinística simples, ela não deve ser utilizada naquele caso.</w:t>
      </w:r>
    </w:p>
    <w:p>
      <w:pPr>
        <w:pStyle w:val="Heading1"/>
      </w:pPr>
      <w:r>
        <w:t>9. Dados disponíveis e qualidade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6"/>
          <w:left w:val="single" w:sz="4" w:color="D9E0E6"/>
          <w:bottom w:val="single" w:sz="4" w:color="D9E0E6"/>
          <w:right w:val="single" w:sz="4" w:color="D9E0E6"/>
          <w:insideH w:val="single" w:sz="4" w:color="D9E0E6"/>
          <w:insideV w:val="single" w:sz="4" w:color="D9E0E6"/>
        </w:tblBorders>
      </w:tblPr>
      <w:tblGrid>
        <w:gridCol w:w="4003"/>
        <w:gridCol w:w="2750"/>
        <w:gridCol w:w="2794"/>
      </w:tblGrid>
      <w:tr>
        <w:trPr>
          <w:tblHeader w:val="true"/>
          <w:cantSplit/>
        </w:trPr>
        <w:tc>
          <w:tcPr>
            <w:tcW w:type="dxa" w:w="40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445F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27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445F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Dados disponíveis</w:t>
            </w:r>
          </w:p>
        </w:tc>
        <w:tc>
          <w:tcPr>
            <w:tcW w:type="dxa" w:w="2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24445F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Qualidade ou limitação</w:t>
            </w:r>
          </w:p>
        </w:tc>
      </w:tr>
      <w:tr>
        <w:trPr>
          <w:cantSplit/>
        </w:trPr>
        <w:tc>
          <w:tcPr>
            <w:tcW w:type="dxa" w:w="40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Produtos</w:t>
            </w:r>
          </w:p>
        </w:tc>
        <w:tc>
          <w:tcPr>
            <w:tcW w:type="dxa" w:w="27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232A32"/>
                <w:sz w:val="18"/>
              </w:rPr>
              <w:t>SKU, família, curva ABC, status, lead time, lote mínimo e estoque de segurança</w:t>
            </w:r>
          </w:p>
        </w:tc>
        <w:tc>
          <w:tcPr>
            <w:tcW w:type="dxa" w:w="2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232A32"/>
                <w:sz w:val="18"/>
              </w:rPr>
              <w:t>Estruturados</w:t>
            </w:r>
          </w:p>
        </w:tc>
      </w:tr>
      <w:tr>
        <w:trPr>
          <w:cantSplit/>
        </w:trPr>
        <w:tc>
          <w:tcPr>
            <w:tcW w:type="dxa" w:w="40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Vendas</w:t>
            </w:r>
          </w:p>
        </w:tc>
        <w:tc>
          <w:tcPr>
            <w:tcW w:type="dxa" w:w="27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232A32"/>
                <w:sz w:val="18"/>
              </w:rPr>
              <w:t>24 meses por SKU e canal</w:t>
            </w:r>
          </w:p>
        </w:tc>
        <w:tc>
          <w:tcPr>
            <w:tcW w:type="dxa" w:w="2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232A32"/>
                <w:sz w:val="18"/>
              </w:rPr>
              <w:t>Faturamento não é necessariamente consumo final</w:t>
            </w:r>
          </w:p>
        </w:tc>
      </w:tr>
      <w:tr>
        <w:trPr>
          <w:cantSplit/>
        </w:trPr>
        <w:tc>
          <w:tcPr>
            <w:tcW w:type="dxa" w:w="40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Estoque</w:t>
            </w:r>
          </w:p>
        </w:tc>
        <w:tc>
          <w:tcPr>
            <w:tcW w:type="dxa" w:w="27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232A32"/>
                <w:sz w:val="18"/>
              </w:rPr>
              <w:t>Atual, histórico e cobertura</w:t>
            </w:r>
          </w:p>
        </w:tc>
        <w:tc>
          <w:tcPr>
            <w:tcW w:type="dxa" w:w="2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232A32"/>
                <w:sz w:val="18"/>
              </w:rPr>
              <w:t>Cobertura é estimada/calculada</w:t>
            </w:r>
          </w:p>
        </w:tc>
      </w:tr>
      <w:tr>
        <w:trPr>
          <w:cantSplit/>
        </w:trPr>
        <w:tc>
          <w:tcPr>
            <w:tcW w:type="dxa" w:w="40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Pedidos</w:t>
            </w:r>
          </w:p>
        </w:tc>
        <w:tc>
          <w:tcPr>
            <w:tcW w:type="dxa" w:w="27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232A32"/>
                <w:sz w:val="18"/>
              </w:rPr>
              <w:t>Cliente, SKU, quantidade, data prometida e status</w:t>
            </w:r>
          </w:p>
        </w:tc>
        <w:tc>
          <w:tcPr>
            <w:tcW w:type="dxa" w:w="2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232A32"/>
                <w:sz w:val="18"/>
              </w:rPr>
              <w:t>Nem sempre há vínculo direto com a ordem</w:t>
            </w:r>
          </w:p>
        </w:tc>
      </w:tr>
      <w:tr>
        <w:trPr>
          <w:cantSplit/>
        </w:trPr>
        <w:tc>
          <w:tcPr>
            <w:tcW w:type="dxa" w:w="40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Produção</w:t>
            </w:r>
          </w:p>
        </w:tc>
        <w:tc>
          <w:tcPr>
            <w:tcW w:type="dxa" w:w="27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232A32"/>
                <w:sz w:val="18"/>
              </w:rPr>
              <w:t>Ordens, quantidades, datas e status</w:t>
            </w:r>
          </w:p>
        </w:tc>
        <w:tc>
          <w:tcPr>
            <w:tcW w:type="dxa" w:w="2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232A32"/>
                <w:sz w:val="18"/>
              </w:rPr>
              <w:t>Datas futuras são planejadas</w:t>
            </w:r>
          </w:p>
        </w:tc>
      </w:tr>
      <w:tr>
        <w:trPr>
          <w:cantSplit/>
        </w:trPr>
        <w:tc>
          <w:tcPr>
            <w:tcW w:type="dxa" w:w="40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Capacidade</w:t>
            </w:r>
          </w:p>
        </w:tc>
        <w:tc>
          <w:tcPr>
            <w:tcW w:type="dxa" w:w="27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232A32"/>
                <w:sz w:val="18"/>
              </w:rPr>
              <w:t>Capacidade e ocupação por família</w:t>
            </w:r>
          </w:p>
        </w:tc>
        <w:tc>
          <w:tcPr>
            <w:tcW w:type="dxa" w:w="2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232A32"/>
                <w:sz w:val="18"/>
              </w:rPr>
              <w:t>Compromissos base não detalhados por SKU</w:t>
            </w:r>
          </w:p>
        </w:tc>
      </w:tr>
      <w:tr>
        <w:trPr>
          <w:cantSplit/>
        </w:trPr>
        <w:tc>
          <w:tcPr>
            <w:tcW w:type="dxa" w:w="40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Sell-in</w:t>
            </w:r>
          </w:p>
        </w:tc>
        <w:tc>
          <w:tcPr>
            <w:tcW w:type="dxa" w:w="27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232A32"/>
                <w:sz w:val="18"/>
              </w:rPr>
              <w:t>Expedição para 5 parceiros e 10 SKUs por parceiro</w:t>
            </w:r>
          </w:p>
        </w:tc>
        <w:tc>
          <w:tcPr>
            <w:tcW w:type="dxa" w:w="2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232A32"/>
                <w:sz w:val="18"/>
              </w:rPr>
              <w:t>Recorte parcial</w:t>
            </w:r>
          </w:p>
        </w:tc>
      </w:tr>
      <w:tr>
        <w:trPr>
          <w:cantSplit/>
        </w:trPr>
        <w:tc>
          <w:tcPr>
            <w:tcW w:type="dxa" w:w="40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Sell-out</w:t>
            </w:r>
          </w:p>
        </w:tc>
        <w:tc>
          <w:tcPr>
            <w:tcW w:type="dxa" w:w="27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232A32"/>
                <w:sz w:val="18"/>
              </w:rPr>
              <w:t>Venda ao consumidor e estoque estimado</w:t>
            </w:r>
          </w:p>
        </w:tc>
        <w:tc>
          <w:tcPr>
            <w:tcW w:type="dxa" w:w="2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232A32"/>
                <w:sz w:val="18"/>
              </w:rPr>
              <w:t>Cobertura parcial da cadeia</w:t>
            </w:r>
          </w:p>
        </w:tc>
      </w:tr>
      <w:tr>
        <w:trPr>
          <w:cantSplit/>
        </w:trPr>
        <w:tc>
          <w:tcPr>
            <w:tcW w:type="dxa" w:w="40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Forecast</w:t>
            </w:r>
          </w:p>
        </w:tc>
        <w:tc>
          <w:tcPr>
            <w:tcW w:type="dxa" w:w="27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232A32"/>
                <w:sz w:val="18"/>
              </w:rPr>
              <w:t>Outubro a dezembro de 2026</w:t>
            </w:r>
          </w:p>
        </w:tc>
        <w:tc>
          <w:tcPr>
            <w:tcW w:type="dxa" w:w="2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232A32"/>
                <w:sz w:val="18"/>
              </w:rPr>
              <w:t>Dado previsto; MAPE informado de 31%</w:t>
            </w:r>
          </w:p>
        </w:tc>
      </w:tr>
      <w:tr>
        <w:trPr>
          <w:cantSplit/>
        </w:trPr>
        <w:tc>
          <w:tcPr>
            <w:tcW w:type="dxa" w:w="40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Eventos</w:t>
            </w:r>
          </w:p>
        </w:tc>
        <w:tc>
          <w:tcPr>
            <w:tcW w:type="dxa" w:w="27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232A32"/>
                <w:sz w:val="18"/>
              </w:rPr>
              <w:t>Sazonalidades e campanhas</w:t>
            </w:r>
          </w:p>
        </w:tc>
        <w:tc>
          <w:tcPr>
            <w:tcW w:type="dxa" w:w="2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232A32"/>
                <w:sz w:val="18"/>
              </w:rPr>
              <w:t>Impacto esperado é hipótese</w:t>
            </w:r>
          </w:p>
        </w:tc>
      </w:tr>
      <w:tr>
        <w:trPr>
          <w:cantSplit/>
        </w:trPr>
        <w:tc>
          <w:tcPr>
            <w:tcW w:type="dxa" w:w="40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color w:val="232A32"/>
                <w:sz w:val="18"/>
              </w:rPr>
              <w:t>Parceiros</w:t>
            </w:r>
          </w:p>
        </w:tc>
        <w:tc>
          <w:tcPr>
            <w:tcW w:type="dxa" w:w="27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232A32"/>
                <w:sz w:val="18"/>
              </w:rPr>
              <w:t>Região, UF, porte, tipo, canal e cobertura</w:t>
            </w:r>
          </w:p>
        </w:tc>
        <w:tc>
          <w:tcPr>
            <w:tcW w:type="dxa" w:w="2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232A32"/>
                <w:sz w:val="18"/>
              </w:rPr>
              <w:t>Não há sell-out completo da rede</w:t>
            </w:r>
          </w:p>
        </w:tc>
      </w:tr>
    </w:tbl>
    <w:p>
      <w:pPr>
        <w:spacing w:after="0"/>
      </w:pPr>
    </w:p>
    <w:p>
      <w:pPr>
        <w:pStyle w:val="Heading2"/>
      </w:pPr>
      <w:r>
        <w:t>Classificação de confiança</w:t>
      </w:r>
    </w:p>
    <w:p>
      <w:pPr>
        <w:pStyle w:val="ListBullet"/>
      </w:pPr>
      <w:r>
        <w:rPr>
          <w:b/>
        </w:rPr>
        <w:t>Alta:</w:t>
      </w:r>
      <w:r>
        <w:t xml:space="preserve"> dado observado, recente e completo;</w:t>
      </w:r>
    </w:p>
    <w:p>
      <w:pPr>
        <w:pStyle w:val="ListBullet"/>
      </w:pPr>
      <w:r>
        <w:rPr>
          <w:b/>
        </w:rPr>
        <w:t>Média:</w:t>
      </w:r>
      <w:r>
        <w:t xml:space="preserve"> combinação de dados observados e estimados;</w:t>
      </w:r>
    </w:p>
    <w:p>
      <w:pPr>
        <w:pStyle w:val="ListBullet"/>
      </w:pPr>
      <w:r>
        <w:rPr>
          <w:b/>
        </w:rPr>
        <w:t>Baixa:</w:t>
      </w:r>
      <w:r>
        <w:t xml:space="preserve"> dependência de forecast, baixa cobertura ou ausência de sell-out.</w:t>
      </w:r>
    </w:p>
    <w:p>
      <w:r>
        <w:t>A ausência de sell-out deve ser exibida como lacuna, nunca como venda zero.</w:t>
      </w:r>
    </w:p>
    <w:p>
      <w:pPr>
        <w:pStyle w:val="Heading1"/>
      </w:pPr>
      <w:r>
        <w:t>10. Limites da solução proposta</w:t>
      </w:r>
    </w:p>
    <w:p>
      <w:r>
        <w:t>Não fazem parte da primeira versão:</w:t>
      </w:r>
    </w:p>
    <w:p>
      <w:pPr>
        <w:pStyle w:val="ListBullet"/>
      </w:pPr>
      <w:r>
        <w:t>IA conversacional;</w:t>
      </w:r>
    </w:p>
    <w:p>
      <w:pPr>
        <w:pStyle w:val="ListBullet"/>
      </w:pPr>
      <w:r>
        <w:t>automação de ordens de produção;</w:t>
      </w:r>
    </w:p>
    <w:p>
      <w:pPr>
        <w:pStyle w:val="ListBullet"/>
      </w:pPr>
      <w:r>
        <w:t>decisão autônoma do PCP;</w:t>
      </w:r>
    </w:p>
    <w:p>
      <w:pPr>
        <w:pStyle w:val="ListBullet"/>
      </w:pPr>
      <w:r>
        <w:t>integração real com todos os parceiros;</w:t>
      </w:r>
    </w:p>
    <w:p>
      <w:pPr>
        <w:pStyle w:val="ListBullet"/>
      </w:pPr>
      <w:r>
        <w:t>contrato comercial definitivo;</w:t>
      </w:r>
    </w:p>
    <w:p>
      <w:pPr>
        <w:pStyle w:val="ListBullet"/>
      </w:pPr>
      <w:r>
        <w:t>definição final de descontos ou rebates;</w:t>
      </w:r>
    </w:p>
    <w:p>
      <w:pPr>
        <w:pStyle w:val="ListBullet"/>
      </w:pPr>
      <w:r>
        <w:t>API obrigatória para todos os parceiros;</w:t>
      </w:r>
    </w:p>
    <w:p>
      <w:pPr>
        <w:pStyle w:val="ListBullet"/>
      </w:pPr>
      <w:r>
        <w:t>previsão para todos os SKUs;</w:t>
      </w:r>
    </w:p>
    <w:p>
      <w:pPr>
        <w:pStyle w:val="ListBullet"/>
      </w:pPr>
      <w:r>
        <w:t>otimização completa da fábrica;</w:t>
      </w:r>
    </w:p>
    <w:p>
      <w:pPr>
        <w:pStyle w:val="ListBullet"/>
      </w:pPr>
      <w:r>
        <w:t>garantia de prioridade absoluta para parceiros colaboradores.</w:t>
      </w:r>
    </w:p>
    <w:p>
      <w:pPr>
        <w:pStyle w:val="Heading1"/>
      </w:pPr>
      <w:r>
        <w:t>11. Respostas diretas às perguntas da Semana 2</w:t>
      </w:r>
    </w:p>
    <w:p>
      <w:pPr>
        <w:pStyle w:val="Heading2"/>
      </w:pPr>
      <w:r>
        <w:t>Como a solução atende aos requisitos?</w:t>
      </w:r>
    </w:p>
    <w:p>
      <w:r>
        <w:t>Integra dados comerciais e operacionais, relaciona sell-in e sell-out onde houver cobertura, identifica riscos e lacunas, avalia demanda e estoque, verifica capacidade e apresenta prioridades com evidências e nível de confiança.</w:t>
      </w:r>
    </w:p>
    <w:p>
      <w:pPr>
        <w:pStyle w:val="Heading2"/>
      </w:pPr>
      <w:r>
        <w:t>Qual valor ela entrega?</w:t>
      </w:r>
    </w:p>
    <w:p>
      <w:r>
        <w:t>Reduz o esforço de consolidação, melhora a clareza da priorização do PCP, conecta Comercial e Operações e reduz decisões baseadas somente em sell-in.</w:t>
      </w:r>
    </w:p>
    <w:p>
      <w:pPr>
        <w:pStyle w:val="Heading2"/>
      </w:pPr>
      <w:r>
        <w:t>Qual tarefa a IA executa e por que usá-la?</w:t>
      </w:r>
    </w:p>
    <w:p>
      <w:r>
        <w:t>A IA apoia previsão de demanda, detecção de anomalias e classificação de tendências ou riscos quando houver dados suficientes. Ela é usada somente quando pode superar regras simples e gerar valor mensurável.</w:t>
      </w:r>
    </w:p>
    <w:p>
      <w:pPr>
        <w:pStyle w:val="Heading2"/>
      </w:pPr>
      <w:r>
        <w:t>A IA estará na solução ou será apenas apoio?</w:t>
      </w:r>
    </w:p>
    <w:p>
      <w:r>
        <w:t>Estará na solução como componente analítico delimitado, mas não será a interface principal nem decidirá a produção. O núcleo será determinístico e a decisão final continuará humana.</w:t>
      </w:r>
    </w:p>
    <w:p>
      <w:pPr>
        <w:pStyle w:val="Heading2"/>
      </w:pPr>
      <w:r>
        <w:t>Qual é o resultado atual?</w:t>
      </w:r>
    </w:p>
    <w:p>
      <w:r>
        <w:t>A linha de base informada inclui 22 horas semanais de análise manual, 89% de pedidos no prazo, 78% de aderência ao plano, MAPE de 31%, 14 SKUs com ruptura e 18% dos SKUs com cobertura superior a 90 dias.</w:t>
      </w:r>
    </w:p>
    <w:p>
      <w:pPr>
        <w:pStyle w:val="Heading2"/>
      </w:pPr>
      <w:r>
        <w:t>Qual métrica e qual meta serão testadas?</w:t>
      </w:r>
    </w:p>
    <w:p>
      <w:r>
        <w:t>A métrica principal será reduzir o tempo de análise e priorização do PCP de 22 para até 8 horas semanais. Também serão acompanhados pedidos no prazo, aderência ao plano, rupturas, excesso, qualidade da colaboração e desempenho da IA em tarefas específicas.</w:t>
      </w:r>
    </w:p>
    <w:p>
      <w:pPr>
        <w:pStyle w:val="Heading2"/>
      </w:pPr>
      <w:r>
        <w:t>Quais dados estão disponíveis?</w:t>
      </w:r>
    </w:p>
    <w:p>
      <w:r>
        <w:t>Produtos, vendas, estoque, pedidos, produção, capacidade, lead time, forecast, eventos, parceiros, sell-in e sell-out parcial.</w:t>
      </w:r>
    </w:p>
    <w:p>
      <w:r>
        <w:t>A qualidade é heterogênea: existem dados observados, estimados, previstos e ausentes. A solução deverá tornar essa diferença visível.</w:t>
      </w:r>
    </w:p>
    <w:p>
      <w:pPr>
        <w:pStyle w:val="Heading1"/>
      </w:pPr>
      <w:r>
        <w:t>Conclusão</w:t>
      </w:r>
    </w:p>
    <w:p>
      <w:r>
        <w:t>A hipótese de solução é um modelo integrado de colaboração e planejamento B2B2C: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E0E6"/>
          <w:left w:val="single" w:sz="4" w:color="D9E0E6"/>
          <w:bottom w:val="single" w:sz="4" w:color="D9E0E6"/>
          <w:right w:val="single" w:sz="4" w:color="D9E0E6"/>
          <w:insideH w:val="single" w:sz="4" w:color="D9E0E6"/>
          <w:insideV w:val="single" w:sz="4" w:color="D9E0E6"/>
        </w:tblBorders>
      </w:tblPr>
      <w:tblGrid>
        <w:gridCol w:w="9547"/>
      </w:tblGrid>
      <w:tr>
        <w:tc>
          <w:tcPr>
            <w:tcW w:type="dxa" w:w="9547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</w:rPr>
              <w:t>O Comercial amplia progressivamente a qualidade dos dados dos parceiros; o PCP utiliza esses dados, junto às informações internas, para priorizar produção e abastecimento com mais confiança.</w:t>
            </w:r>
          </w:p>
        </w:tc>
      </w:tr>
    </w:tbl>
    <w:p>
      <w:pPr>
        <w:spacing w:after="0"/>
      </w:pPr>
    </w:p>
    <w:p>
      <w:r>
        <w:t>O núcleo da solução será determinístico e auditável. A IA será utilizada somente em tarefas analíticas nas quais possa demonstrar ganho sobre regras simples, como previsão de demanda ou detecção de anomalias.</w:t>
      </w:r>
    </w:p>
    <w:p>
      <w:r>
        <w:t>Não haverá IA conversacional nem decisão autônoma de produção.</w:t>
      </w:r>
    </w:p>
    <w:p>
      <w:r>
        <w:t>O valor da proposta está em melhorar a decisão sobre: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E0E6"/>
          <w:left w:val="single" w:sz="4" w:color="D9E0E6"/>
          <w:bottom w:val="single" w:sz="4" w:color="D9E0E6"/>
          <w:right w:val="single" w:sz="4" w:color="D9E0E6"/>
          <w:insideH w:val="single" w:sz="4" w:color="D9E0E6"/>
          <w:insideV w:val="single" w:sz="4" w:color="D9E0E6"/>
        </w:tblBorders>
      </w:tblPr>
      <w:tblGrid>
        <w:gridCol w:w="9547"/>
      </w:tblGrid>
      <w:tr>
        <w:tc>
          <w:tcPr>
            <w:tcW w:type="dxa" w:w="9547"/>
            <w:shd w:fill="EEF2F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</w:rPr>
              <w:t>o que produzir, quanto produzir, quando disponibilizar e para qual canal priorizar.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181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9747F"/>
        <w:sz w:val="16"/>
      </w:rPr>
      <w:t xml:space="preserve">Grupo 8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9747F"/>
        <w:sz w:val="16"/>
      </w:rPr>
      <w:t>ITA Challenge | Caderno Inteligente | Semana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3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80" w:after="160"/>
      <w:outlineLvl w:val="0"/>
    </w:pPr>
    <w:rPr>
      <w:rFonts w:asciiTheme="majorHAnsi" w:eastAsiaTheme="majorEastAsia" w:hAnsiTheme="majorHAnsi" w:cstheme="majorBidi" w:ascii="Aptos" w:hAnsi="Aptos"/>
      <w:b/>
      <w:bCs/>
      <w:color w:val="1631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16314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631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1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Semana 2 — Hipótese de Solução</dc:title>
  <dc:subject>ITA Challenge Sprint — Desafio 3 — Caderno Inteligente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