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Vinícius Martins da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vinimartinsc@gmail.com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Orientações de Uso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Para cada caso de uso deve-se descrever os seguintes detalhes: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Precondições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a realização do caso de uso;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Condições que se supõem estejam satisfeitas, ao iniciar-se a execução de um caso de uso.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caso de uso, descrito na forma de uma seqüência de passos: representa a seqüência mais normal de execução da função.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Subfluxos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uso, descrito na forma de uma seqüência de passos: descrevem geralmente detalhes de iterações, ou de condições executadas com maior freqüência.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São referenciados dentro de passos do fluxo principal, de outros subfluxos ou de fluxos alternativos.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u w:val="single"/>
          <w:vertAlign w:val="baseline"/>
          <w:rtl w:val="0"/>
        </w:rPr>
        <w:t xml:space="preserve">Fluxos alternativos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 do caso de uso: descrevem seqüências opcionais executadas com menor freqüência, ou exceções.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Não são referenciados dentro de outros fluxos.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– Suas próprias pré condições definem quando eles são ativados.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Descrições mais formais (diagramas de estado ou de atividade) se a complexidade do caso de uso exigir.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900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vertAlign w:val="baseline"/>
          <w:rtl w:val="0"/>
        </w:rPr>
        <w:t xml:space="preserve">• Observações: usadas para descrever condições posteriores, referências a requisitos de desempenho vinculados ao caso de uso e referências a informação externa relativa a esse caso de uso.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</w:p>
    <w:p w:rsidR="00000000" w:rsidDel="00000000" w:rsidP="00000000" w:rsidRDefault="00000000" w:rsidRPr="00000000" w14:paraId="0000001E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Este documento descreve o caso de uso referente a inscrição do oficineiro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20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gerenciador principal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Oficineiro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Quem ministra as oficinas do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28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- 4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sistema deverá conter quatro níveis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Cadastrar oficineiro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- 7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p783qc902c1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0"/>
          <w:szCs w:val="20"/>
        </w:rPr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</w:p>
    <w:p w:rsidR="00000000" w:rsidDel="00000000" w:rsidP="00000000" w:rsidRDefault="00000000" w:rsidRPr="00000000" w14:paraId="00000040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yenqoj60v5bm" w:id="8"/>
      <w:bookmarkEnd w:id="8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 ter realizado o Login</w:t>
      </w:r>
    </w:p>
    <w:p w:rsidR="00000000" w:rsidDel="00000000" w:rsidP="00000000" w:rsidRDefault="00000000" w:rsidRPr="00000000" w14:paraId="00000041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bookmarkStart w:colFirst="0" w:colLast="0" w:name="_1t3h5sf" w:id="9"/>
      <w:bookmarkEnd w:id="9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deve ter acesso nível 1 (administrador) ou nível 2 Oficineiro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O usuário acessa o gerenciamento de Usuários e seleciona ‘ver’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todos os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2. O usuário seleciona  alterar informação de um usuário (Oficineiro) específico;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apresenta os dados do Oficineiro selecionado;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opção não bolsista;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os campos e seleciona a opção de salvar;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Fim de caso de uso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1"/>
        <w:spacing w:after="60" w:before="240" w:lineRule="auto"/>
        <w:ind w:left="576" w:firstLine="90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4.2.1 Subfluxo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Upgrade de modalidade de oficineiro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dd9rofhubp1z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5.1 O usuário seleciona a opção bolsista;</w:t>
      </w:r>
    </w:p>
    <w:p w:rsidR="00000000" w:rsidDel="00000000" w:rsidP="00000000" w:rsidRDefault="00000000" w:rsidRPr="00000000" w14:paraId="0000004C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77z6juc2gboa" w:id="11"/>
      <w:bookmarkEnd w:id="1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5.2 O sistema acrescenta os campos necessários para essa modalidade conforme [RNG 12];</w:t>
      </w:r>
    </w:p>
    <w:p w:rsidR="00000000" w:rsidDel="00000000" w:rsidP="00000000" w:rsidRDefault="00000000" w:rsidRPr="00000000" w14:paraId="0000004D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ckplhmahmbgm" w:id="12"/>
      <w:bookmarkEnd w:id="1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5.3 O usuário preenche os novos campos;</w:t>
      </w:r>
    </w:p>
    <w:p w:rsidR="00000000" w:rsidDel="00000000" w:rsidP="00000000" w:rsidRDefault="00000000" w:rsidRPr="00000000" w14:paraId="0000004E">
      <w:pPr>
        <w:tabs>
          <w:tab w:val="left" w:pos="3130"/>
        </w:tabs>
        <w:ind w:left="3118" w:hanging="1678"/>
        <w:rPr>
          <w:rFonts w:ascii="Calibri" w:cs="Calibri" w:eastAsia="Calibri" w:hAnsi="Calibri"/>
          <w:sz w:val="20"/>
          <w:szCs w:val="20"/>
        </w:rPr>
      </w:pPr>
      <w:bookmarkStart w:colFirst="0" w:colLast="0" w:name="_26in1rg" w:id="13"/>
      <w:bookmarkEnd w:id="13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5.4 retorna ao fluxo principal no passo 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after="60" w:before="240" w:lineRule="auto"/>
        <w:ind w:left="708" w:firstLine="900.0000000000001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4.3.1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Desativar acesso de um Oficineiro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color w:val="ff66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a desativação do Oficineiro</w:t>
      </w:r>
    </w:p>
    <w:p w:rsidR="00000000" w:rsidDel="00000000" w:rsidP="00000000" w:rsidRDefault="00000000" w:rsidRPr="00000000" w14:paraId="00000051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5. O sistema retorna uma mensagem de confirmação</w:t>
      </w:r>
    </w:p>
    <w:p w:rsidR="00000000" w:rsidDel="00000000" w:rsidP="00000000" w:rsidRDefault="00000000" w:rsidRPr="00000000" w14:paraId="00000052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6. O usuário seleciona aceitar</w:t>
      </w:r>
    </w:p>
    <w:p w:rsidR="00000000" w:rsidDel="00000000" w:rsidP="00000000" w:rsidRDefault="00000000" w:rsidRPr="00000000" w14:paraId="00000053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7. O sistema retorna uma mensagem confirmando a ação de desativação </w:t>
      </w:r>
    </w:p>
    <w:p w:rsidR="00000000" w:rsidDel="00000000" w:rsidP="00000000" w:rsidRDefault="00000000" w:rsidRPr="00000000" w14:paraId="00000054">
      <w:pPr>
        <w:tabs>
          <w:tab w:val="left" w:pos="3130"/>
        </w:tabs>
        <w:ind w:left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8. Fim de caso de uso</w:t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56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é redirecionado para a tela de “Gerenciar Usuários”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59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- 11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Modalidades existentes de oficineiro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- 12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Ao cadastrar o “oficineiro” deve-se informar: (RG) Registro Geral, nome, telefone, se é bolsista ou voluntário. No caso de Bolsista deve-se informar também matrícula e curso.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68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