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fnfsluxoisj4" w:id="0"/>
      <w:bookmarkEnd w:id="0"/>
      <w:r w:rsidDel="00000000" w:rsidR="00000000" w:rsidRPr="00000000">
        <w:rPr>
          <w:rtl w:val="0"/>
        </w:rPr>
        <w:t xml:space="preserve">Projeto BD - 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Turno</w:t>
      </w:r>
      <w:r w:rsidDel="00000000" w:rsidR="00000000" w:rsidRPr="00000000">
        <w:rPr>
          <w:rtl w:val="0"/>
        </w:rPr>
        <w:t xml:space="preserve"> BD2L16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 Daniel Mateus Gonçalves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 075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770"/>
        <w:gridCol w:w="2160"/>
        <w:gridCol w:w="3780"/>
        <w:tblGridChange w:id="0">
          <w:tblGrid>
            <w:gridCol w:w="1305"/>
            <w:gridCol w:w="1770"/>
            <w:gridCol w:w="216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Percentagem Relativa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Sofia Bonifácio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Sequeira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de Integridade (RI):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categoria não pode ser composta por si mesma.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Categorias não podem ser compostas por outras categorias circularmente.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nome de um retalhista é único.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 códigos de barras numéricos dos produtos (EAN) têm 13 dígitos.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altura e largura das prateleiras devem estar em centímetros.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de unidades repostas pelo retalhista não pode exceder as descritas no planograma.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