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of City, SFHA_AREA in ft / Total Area in ft * 100, Median Value of Houses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Wilmington, 37.552, 132270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Elizabeth City, 34.262, 111448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Jacksonville, 32.15, 142580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RTP, 10.016, 162081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Charlotte, 7.47, 118073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Asheville, 3.409, 131178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