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2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1.xml" ContentType="application/vnd.ms-office.chartcolorstyle+xml"/>
  <Override PartName="/word/charts/style4.xml" ContentType="application/vnd.ms-office.chartstyle+xml"/>
  <Override PartName="/word/charts/colors2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3.xml" ContentType="application/vnd.openxmlformats-officedocument.drawingml.chart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С</w:t>
      </w:r>
      <w:r>
        <w:t xml:space="preserve">егодня информация играет ключевую роль в любой деятельности. Технологии современности предоставляют много возможностей: простоту обработки, быстроту передачи адресатам и гибкость манипуляции. Информационный прогресс приводит к замене ручной деятельности че</w:t>
      </w:r>
      <w:r>
        <w:t xml:space="preserve">ловека, что способствует зависимости общества от компьютеров. Процесс использования новейших технологий в работе организаций получил название "автоматизация". </w:t>
      </w:r>
      <w:r/>
    </w:p>
    <w:p>
      <w:pPr>
        <w:pBdr/>
        <w:spacing/>
        <w:ind/>
        <w:rPr/>
      </w:pPr>
      <w:r>
        <w:t xml:space="preserve">К</w:t>
      </w:r>
      <w:r>
        <w:t xml:space="preserve">омьютерные техгологии заметно упростили совершение преступлений, к которым относятся кража, мошенничество, шпионаж, клевета. С развитием компьютерных технологий стали возникать новые виды преступлений: фишинг, распространение вредоносных программ, хищение </w:t>
      </w:r>
      <w:r>
        <w:t xml:space="preserve">компьютерной информации, спам, DoS-атаки. В связи с этим киберпреступность является межгосударственной серьезной проблемой.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М</w:t>
      </w:r>
      <w:r>
        <w:t xml:space="preserve">ногие ученый нашей страны уделяли внимание вопросам кибербезопасности. Так, Д.А. Тершуков обосновал необходимость информационной безопасности как составной части национальной безопасности страны. Проблемы информационной безопасности исследовались в научных</w:t>
      </w:r>
      <w:r>
        <w:t xml:space="preserve"> трудах Е. А. Муньковой, А. В. Шободоевой.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Отдельные аспекты развития и становления </w:t>
      </w:r>
      <w:r>
        <w:t xml:space="preserve">информационных отношений, вопросы осуществ</w:t>
      </w:r>
      <w:r>
        <w:t xml:space="preserve">ления противодействия киберпреступности рас</w:t>
      </w:r>
      <w:r>
        <w:t xml:space="preserve">сматривались ведущими отечественными учеными </w:t>
      </w:r>
      <w:r>
        <w:t xml:space="preserve">Т. А. Гончаровой, Л. В. Набоковым, </w:t>
      </w:r>
      <w:r>
        <w:t xml:space="preserve">Н. А. Казаковой, А. А. Петюковой, </w:t>
      </w:r>
      <w:r>
        <w:t xml:space="preserve">Б. А. Тарчоковым. Однако указанные исследо</w:t>
      </w:r>
      <w:r>
        <w:t xml:space="preserve">вания в основном сосредоточены на теоретиче</w:t>
      </w:r>
      <w:r>
        <w:t xml:space="preserve">ских аспектах киберпреступности. Впрочем бес</w:t>
      </w:r>
      <w:r>
        <w:t xml:space="preserve">покойство, связанное с масштабами и влиянием </w:t>
      </w:r>
      <w:r>
        <w:t xml:space="preserve">пандемии COVID-19, заставляет предприятия </w:t>
      </w:r>
      <w:r>
        <w:t xml:space="preserve">анализировать текущую ситуацию и разрабаты</w:t>
      </w:r>
      <w:r>
        <w:t xml:space="preserve">вать меры, которые следует принять для защиты </w:t>
      </w:r>
      <w:r>
        <w:t xml:space="preserve">информации.</w:t>
      </w:r>
      <w:r/>
    </w:p>
    <w:p>
      <w:pPr>
        <w:pBdr/>
        <w:spacing/>
        <w:ind/>
        <w:rPr/>
      </w:pPr>
      <w:r>
        <w:t xml:space="preserve">Ц</w:t>
      </w:r>
      <w:r>
        <w:t xml:space="preserve">елью исследования является анализ тенденций развития киберпреступности и построение оптимистичного и пессимистичного прогнозов. Были использованы методы скользящей средней для прогнозирования; методы математической статистики; методы общей теории статистик</w:t>
      </w:r>
      <w:r>
        <w:t xml:space="preserve">и, а именно относительных, абсолютных и средних величин, методы синтеза и анализа. Были применены графический и табличный методы визуализации данных.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Проведем анализ сведений о преступлениях, которые были совершены с использованием информационно-телекоммуникационных технологий или в сфере компьютерной информации в России.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А</w:t>
      </w:r>
      <w:r>
        <w:t xml:space="preserve">нализируя данные за период с 2022 по 2024 гг., можно отметить устойчивый рост числа преступлений, совершённых с использованием информационно-коммуникационных технологий. Так, в 2023 году количество преступлений с использованием сети Интернет выросло на 38,</w:t>
      </w:r>
      <w:r>
        <w:t xml:space="preserve">2%, а в 2024 году — ещё на 26,1% по сравнению с аналогичными периодами предыдущих лет. Преступления, связанные со средствами мобильной связи, увеличились на 42,2% в 2023 году и на 19,6% в 2024 году.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Н</w:t>
      </w:r>
      <w:r>
        <w:t xml:space="preserve">аибольшую динамику продемонстрировали мошенничества и кражи с использованием ИКТ, составившие до 71% всех киберпреступлений. Рост мошенничеств с электронными платежами и банковскими картами составил 28,1% в 2023 году и 4,5% в 2024 году. Одновременно наблюд</w:t>
      </w:r>
      <w:r>
        <w:t xml:space="preserve">ается увеличение числа преступлений, связанных с хищением данных, незаконным доступом к компьютерной информации и распространением фишинговых атак.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О</w:t>
      </w:r>
      <w:r>
        <w:t xml:space="preserve">трицательный прирост зафиксирован по некоторым категориям преступлений, таким как использование вредоносных программ (снижение на 41% в 2022 году с последующей стабилизацией показателей в 2023 году). Также снизилось число преступлений, связанных с организа</w:t>
      </w:r>
      <w:r>
        <w:t xml:space="preserve">циями азартных игр и кибертеррористической деятельностью.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Н</w:t>
      </w:r>
      <w:r>
        <w:t xml:space="preserve">есмотря на высокие темпы роста ключевых категорий киберпреступлений, их распределение остаётся относительно стабильным, при этом совокупное влияние таких статей, как фиктивные электронные платежи, создание и распространение вредоносных программ, а также те</w:t>
      </w:r>
      <w:r>
        <w:t xml:space="preserve">ррористическая активность, не оказывает значительного влияния на общую структуру киберпреступности.</w:t>
      </w:r>
      <w:r/>
    </w:p>
    <w:p>
      <w:pPr>
        <w:pBdr/>
        <w:spacing/>
        <w:ind/>
        <w:rPr>
          <w:highlight w:val="none"/>
        </w:rPr>
      </w:pPr>
      <w:r>
        <w:t xml:space="preserve">На основе данных лаборатории Касперского был проведен анализ развития угроз в сфере информационных систем по всему миру за период I квартал 2023 — III квартал 2024.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За исследуемый период </w:t>
      </w:r>
      <w:r>
        <w:rPr>
          <w:highlight w:val="none"/>
        </w:rPr>
        <w:t xml:space="preserve">сократилось количество мобильных угроз на 28%, мобильных банковских троянцев на 69%, возросло количествомобильных троянцев-вымогателей на 57%, уменьшилось на 32% количество новых модификаций шифровальщиков (таблица).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962"/>
        <w:gridCol w:w="1157"/>
        <w:gridCol w:w="2194"/>
        <w:gridCol w:w="1793"/>
        <w:gridCol w:w="2255"/>
      </w:tblGrid>
      <w:tr>
        <w:trPr>
          <w:trHeight w:val="9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Квартал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5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Мобильные</w:t>
              <w:br/>
              <w:t xml:space="preserve">угрозы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Мобильные</w:t>
              <w:br/>
              <w:t xml:space="preserve">банковские троянцы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Мобильные</w:t>
              <w:br/>
              <w:t xml:space="preserve">троянцы-вымогатели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Новые модификации</w:t>
              <w:br/>
              <w:t xml:space="preserve">шифровальщиков</w:t>
            </w:r>
            <w:r/>
          </w:p>
        </w:tc>
      </w:tr>
      <w:tr>
        <w:trPr>
          <w:trHeight w:val="28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6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c0c0c"/>
                <w:sz w:val="20"/>
                <w:u w:val="none"/>
              </w:rPr>
              <w:t xml:space="preserve">Q1 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307529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9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57601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1767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3089</w:t>
            </w:r>
            <w:r/>
          </w:p>
        </w:tc>
      </w:tr>
      <w:tr>
        <w:trPr>
          <w:trHeight w:val="28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6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c0c0c"/>
                <w:sz w:val="20"/>
                <w:u w:val="none"/>
              </w:rPr>
              <w:t xml:space="preserve">Q2 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370327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9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59167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1318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1917</w:t>
            </w:r>
            <w:r/>
          </w:p>
        </w:tc>
      </w:tr>
      <w:tr>
        <w:trPr>
          <w:trHeight w:val="28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6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c0c0c"/>
                <w:sz w:val="20"/>
                <w:u w:val="none"/>
              </w:rPr>
              <w:t xml:space="preserve">Q3 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438962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9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21674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1855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11387</w:t>
            </w:r>
            <w:r/>
          </w:p>
        </w:tc>
      </w:tr>
      <w:tr>
        <w:trPr>
          <w:trHeight w:val="35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6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c0c0c"/>
                <w:sz w:val="20"/>
                <w:u w:val="none"/>
              </w:rPr>
              <w:t xml:space="preserve">Q4 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246802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9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14169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6125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6105</w:t>
            </w:r>
            <w:r/>
          </w:p>
        </w:tc>
      </w:tr>
      <w:tr>
        <w:trPr>
          <w:trHeight w:val="28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6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c0c0c"/>
                <w:sz w:val="20"/>
                <w:u w:val="none"/>
              </w:rPr>
              <w:t xml:space="preserve">Q1 2024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389178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9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11729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1990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7070</w:t>
            </w:r>
            <w:r/>
          </w:p>
        </w:tc>
      </w:tr>
      <w:tr>
        <w:trPr>
          <w:trHeight w:val="28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6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c0c0c"/>
                <w:sz w:val="20"/>
                <w:u w:val="none"/>
              </w:rPr>
              <w:t xml:space="preserve">Q2 2024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376418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9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13019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2611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4456</w:t>
            </w:r>
            <w:r/>
          </w:p>
        </w:tc>
      </w:tr>
      <w:tr>
        <w:trPr>
          <w:trHeight w:val="28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6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c0c0c"/>
                <w:sz w:val="20"/>
                <w:u w:val="none"/>
              </w:rPr>
              <w:t xml:space="preserve">Q3 2024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222444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9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17822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2779.8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2109</w:t>
            </w:r>
            <w:r/>
          </w:p>
        </w:tc>
      </w:tr>
      <w:tr>
        <w:trPr>
          <w:trHeight w:val="57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Темп роста Q3 2024 к Q1 2023,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5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72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9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31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157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68</w:t>
            </w:r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На основе данных лаборатории Касперского за заданные кварталы нами были построены прогнозы следующих угроз: мобильных угроз, мобильных банковских троянцев, мобильных троянцев-вымогателей, новых модификаций шифровальщиков.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drawing>
          <wp:inline distT="0" distB="0" distL="0" distR="0">
            <wp:extent cx="6229471" cy="3222592"/>
            <wp:effectExtent l="4762" t="4762" r="4762" b="4762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drawing>
          <wp:inline distT="0" distB="0" distL="0" distR="0">
            <wp:extent cx="6206512" cy="3609550"/>
            <wp:effectExtent l="4762" t="4762" r="4762" b="4762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drawing>
          <wp:inline distT="0" distB="0" distL="0" distR="0">
            <wp:extent cx="6206512" cy="3612770"/>
            <wp:effectExtent l="4762" t="4762" r="4762" b="4762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При этом на протяжении четырех лет — с 2019 г. по 2023 г. — </w:t>
      </w:r>
      <w:r>
        <w:rPr>
          <w:highlight w:val="none"/>
        </w:rPr>
        <w:t xml:space="preserve">наблюдается рост количества новых зарегестрированных CVE.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drawing>
          <wp:inline distT="0" distB="0" distL="0" distR="0">
            <wp:extent cx="5638799" cy="2724149"/>
            <wp:effectExtent l="4762" t="4762" r="4762" b="4762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П</w:t>
      </w:r>
      <w:r>
        <w:t xml:space="preserve">о данным Kasperky Secure Network, после предоставления компанией OpenAI публичного доступа к GPT-3 в конце 2022 года, злоумышленники использовали её для создания персонализированных убедительных писем для целевого фишинга. К тому же, данная языковая модель</w:t>
      </w:r>
      <w:r>
        <w:t xml:space="preserve"> </w:t>
      </w:r>
      <w:r>
        <w:t xml:space="preserve">использовалась для генерации последующих реплик после получения ответа от получателя фишингового сообщения. Была обнаружена вредоносная компания, которая эксплуатировала приобретающую популярность ChatGPT, которая заключалась в предоставлении фальшивых дан</w:t>
      </w:r>
      <w:r>
        <w:t xml:space="preserve">ных для доступа к платной версии языковой модели с правдоподобной ссылкой на скачивание поддельной версии ChatGPT для Windows. По ссылке на устройство загружался троянец, который воровал учетные данные из многих популярных браузеров.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Б</w:t>
      </w:r>
      <w:r>
        <w:t xml:space="preserve">ыли обнаружены в магазине Google Play вредоносные приложения, которые маскируются под модифицированные версии Telegram на уйгурском, традиционном и упрощённом китайском языках. Описания для данных приложений содержали схожие иллюстрации приложения с офицал</w:t>
      </w:r>
      <w:r>
        <w:t xml:space="preserve">ь</w:t>
      </w:r>
      <w:r>
        <w:t xml:space="preserve">ной страницы Telegram в магазине. В коде приложений был обнаружен шпионский модуль, задачей которого являлась постоянная слежка за работой приложения и отправка данных на сервер злоумышленников: контакты, сообщения, названия чатов, имя и телефон учетной за</w:t>
      </w:r>
      <w:r>
        <w:t xml:space="preserve">писи.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</w:t>
      </w:r>
      <w:r>
        <w:t xml:space="preserve"> рассылке от Openwall Oopen Source Security было заявлено об обнаружении бэкдора в XZ, которая встроена во многие популярные дистрибутивы Linux. Для доступа к функциям systemd на таких дистрибутивах, как Debian, Ubuntu и Fedora, использовался модифицирован</w:t>
      </w:r>
      <w:r>
        <w:t xml:space="preserve">ный OpenSSH, который зависил от этой библиотеки. Вредоносный код был внедрён в феврале и марте 2024 года. Полагается, что целью атаки являлось в добавление sshd возможности удаленного выполнения кода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hart" Target="charts/chart1.xml" /><Relationship Id="rId9" Type="http://schemas.openxmlformats.org/officeDocument/2006/relationships/chart" Target="charts/chart2.xml" /><Relationship Id="rId10" Type="http://schemas.openxmlformats.org/officeDocument/2006/relationships/chart" Target="charts/chart3.xml" /><Relationship Id="rId11" Type="http://schemas.openxmlformats.org/officeDocument/2006/relationships/chart" Target="charts/chart4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3.xlsx" /></Relationships>
</file>

<file path=word/charts/_rels/chart4.xml.rels><?xml version="1.0" encoding="UTF-8" standalone="yes"?><Relationships xmlns="http://schemas.openxmlformats.org/package/2006/relationships"><Relationship Id="rId1" Type="http://schemas.microsoft.com/office/2011/relationships/chartStyle" Target="style4.xml" /><Relationship Id="rId2" Type="http://schemas.microsoft.com/office/2011/relationships/chartColorStyle" Target="colors4.xml" /><Relationship Id="rId3" Type="http://schemas.openxmlformats.org/officeDocument/2006/relationships/package" Target="../embeddings/Microsoft_Excel_Worksheet4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9180"/>
          <c:y val="0.059480"/>
          <c:w val="0.849430"/>
          <c:h val="0.594910"/>
        </c:manualLayout>
      </c:layout>
      <c:lineChart>
        <c:grouping val="standard"/>
        <c:varyColors val="0"/>
        <c:ser>
          <c:idx val="0"/>
          <c:order val="0"/>
          <c:tx>
            <c:strRef>
              <c:f>Sheet1!$B$14</c:f>
              <c:strCache>
                <c:ptCount val="1"/>
                <c:pt idx="0">
                  <c:v>Реалистичный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 cmpd="sng" algn="ctr">
              <a:solidFill>
                <a:srgbClr val="000000"/>
              </a:solidFill>
              <a:prstDash val="sysDot"/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1"/>
              </a:solidFill>
              <a:ln/>
            </c:spPr>
          </c:marker>
          <c:cat>
            <c:strRef>
              <c:f>Sheet1!$A$15:$A$24</c:f>
              <c:strCache>
                <c:ptCount val="10"/>
                <c:pt idx="0">
                  <c:v>Q1 2023</c:v>
                </c:pt>
                <c:pt idx="1">
                  <c:v>Q2 2023</c:v>
                </c:pt>
                <c:pt idx="2">
                  <c:v>Q3 2023</c:v>
                </c:pt>
                <c:pt idx="3">
                  <c:v>Q4 2023</c:v>
                </c:pt>
                <c:pt idx="4">
                  <c:v>Q1 2024</c:v>
                </c:pt>
                <c:pt idx="5">
                  <c:v>Q2 2024</c:v>
                </c:pt>
                <c:pt idx="6">
                  <c:v>Q3 2024</c:v>
                </c:pt>
                <c:pt idx="7">
                  <c:v>Q4 2024</c:v>
                </c:pt>
                <c:pt idx="8">
                  <c:v>Q1 2025</c:v>
                </c:pt>
                <c:pt idx="9">
                  <c:v>Q2 2025</c:v>
                </c:pt>
              </c:strCache>
            </c:strRef>
          </c:cat>
          <c:val>
            <c:numRef>
              <c:f>Sheet1!$B$15:$B$24</c:f>
              <c:numCache>
                <c:formatCode>General</c:formatCode>
                <c:ptCount val="10"/>
                <c:pt idx="0">
                  <c:v>307529</c:v>
                </c:pt>
                <c:pt idx="1">
                  <c:v>370327</c:v>
                </c:pt>
                <c:pt idx="2">
                  <c:v>438962</c:v>
                </c:pt>
                <c:pt idx="3">
                  <c:v>246802</c:v>
                </c:pt>
                <c:pt idx="4">
                  <c:v>389178</c:v>
                </c:pt>
                <c:pt idx="5">
                  <c:v>376418</c:v>
                </c:pt>
                <c:pt idx="6">
                  <c:v>222444</c:v>
                </c:pt>
                <c:pt idx="7">
                  <c:v>329346</c:v>
                </c:pt>
                <c:pt idx="8">
                  <c:v>352364</c:v>
                </c:pt>
                <c:pt idx="9">
                  <c:v>391314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Sheet1!$C$14</c:f>
              <c:strCache>
                <c:ptCount val="1"/>
                <c:pt idx="0">
                  <c:v>Оптимистичный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 cmpd="sng" algn="ctr">
              <a:solidFill>
                <a:schemeClr val="tx1">
                  <a:lumMod val="50000"/>
                  <a:lumOff val="50000"/>
                </a:schemeClr>
              </a:solidFill>
              <a:prstDash val="sysDash"/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2"/>
              </a:solidFill>
              <a:ln/>
            </c:spPr>
          </c:marker>
          <c:cat>
            <c:strRef>
              <c:f>Sheet1!$A$15:$A$24</c:f>
              <c:strCache>
                <c:ptCount val="10"/>
                <c:pt idx="0">
                  <c:v>Q1 2023</c:v>
                </c:pt>
                <c:pt idx="1">
                  <c:v>Q2 2023</c:v>
                </c:pt>
                <c:pt idx="2">
                  <c:v>Q3 2023</c:v>
                </c:pt>
                <c:pt idx="3">
                  <c:v>Q4 2023</c:v>
                </c:pt>
                <c:pt idx="4">
                  <c:v>Q1 2024</c:v>
                </c:pt>
                <c:pt idx="5">
                  <c:v>Q2 2024</c:v>
                </c:pt>
                <c:pt idx="6">
                  <c:v>Q3 2024</c:v>
                </c:pt>
                <c:pt idx="7">
                  <c:v>Q4 2024</c:v>
                </c:pt>
                <c:pt idx="8">
                  <c:v>Q1 2025</c:v>
                </c:pt>
                <c:pt idx="9">
                  <c:v>Q2 2025</c:v>
                </c:pt>
              </c:strCache>
            </c:strRef>
          </c:cat>
          <c:val>
            <c:numRef>
              <c:f>Sheet1!$C$15:$C$24</c:f>
              <c:numCache>
                <c:formatCode>General</c:formatCode>
                <c:ptCount val="10"/>
                <c:pt idx="0">
                  <c:v>307529</c:v>
                </c:pt>
                <c:pt idx="1">
                  <c:v>370327</c:v>
                </c:pt>
                <c:pt idx="2">
                  <c:v>438962</c:v>
                </c:pt>
                <c:pt idx="3">
                  <c:v>246802</c:v>
                </c:pt>
                <c:pt idx="4">
                  <c:v>389178</c:v>
                </c:pt>
                <c:pt idx="5">
                  <c:v>376418</c:v>
                </c:pt>
                <c:pt idx="6">
                  <c:v>222444</c:v>
                </c:pt>
                <c:pt idx="7">
                  <c:v>362280.60000000003</c:v>
                </c:pt>
                <c:pt idx="8">
                  <c:v>387600.4</c:v>
                </c:pt>
                <c:pt idx="9">
                  <c:v>430445.4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Sheet1!$D$14</c:f>
              <c:strCache>
                <c:ptCount val="1"/>
                <c:pt idx="0">
                  <c:v>Пессимистичный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/>
            </a:solidFill>
            <a:ln w="28575" cap="rnd" cmpd="sng" algn="ctr">
              <a:solidFill>
                <a:schemeClr val="tx1">
                  <a:lumMod val="90000"/>
                  <a:lumOff val="5000"/>
                </a:schemeClr>
              </a:solidFill>
              <a:prstDash val="dashDot"/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3"/>
              </a:solidFill>
              <a:ln/>
            </c:spPr>
          </c:marker>
          <c:cat>
            <c:strRef>
              <c:f>Sheet1!$A$15:$A$24</c:f>
              <c:strCache>
                <c:ptCount val="10"/>
                <c:pt idx="0">
                  <c:v>Q1 2023</c:v>
                </c:pt>
                <c:pt idx="1">
                  <c:v>Q2 2023</c:v>
                </c:pt>
                <c:pt idx="2">
                  <c:v>Q3 2023</c:v>
                </c:pt>
                <c:pt idx="3">
                  <c:v>Q4 2023</c:v>
                </c:pt>
                <c:pt idx="4">
                  <c:v>Q1 2024</c:v>
                </c:pt>
                <c:pt idx="5">
                  <c:v>Q2 2024</c:v>
                </c:pt>
                <c:pt idx="6">
                  <c:v>Q3 2024</c:v>
                </c:pt>
                <c:pt idx="7">
                  <c:v>Q4 2024</c:v>
                </c:pt>
                <c:pt idx="8">
                  <c:v>Q1 2025</c:v>
                </c:pt>
                <c:pt idx="9">
                  <c:v>Q2 2025</c:v>
                </c:pt>
              </c:strCache>
            </c:strRef>
          </c:cat>
          <c:val>
            <c:numRef>
              <c:f>Sheet1!$D$15:$D$24</c:f>
              <c:numCache>
                <c:formatCode>General</c:formatCode>
                <c:ptCount val="10"/>
                <c:pt idx="0">
                  <c:v>307529</c:v>
                </c:pt>
                <c:pt idx="1">
                  <c:v>370327</c:v>
                </c:pt>
                <c:pt idx="2">
                  <c:v>438962</c:v>
                </c:pt>
                <c:pt idx="3">
                  <c:v>246802</c:v>
                </c:pt>
                <c:pt idx="4">
                  <c:v>389178</c:v>
                </c:pt>
                <c:pt idx="5">
                  <c:v>376418</c:v>
                </c:pt>
                <c:pt idx="6">
                  <c:v>222444</c:v>
                </c:pt>
                <c:pt idx="7">
                  <c:v>296411.4</c:v>
                </c:pt>
                <c:pt idx="8">
                  <c:v>317127.60000000003</c:v>
                </c:pt>
                <c:pt idx="9">
                  <c:v>352182.60000000003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Sheet1!$E$14</c:f>
              <c:strCache>
                <c:ptCount val="1"/>
                <c:pt idx="0">
                  <c:v>Мобильные
угрозы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4"/>
            </a:solidFill>
            <a:ln w="28575" cap="rnd" cmpd="sng" algn="ctr">
              <a:solidFill>
                <a:schemeClr val="tx1"/>
              </a:solidFill>
              <a:prstDash val="solid"/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4"/>
              </a:solidFill>
              <a:ln/>
            </c:spPr>
          </c:marker>
          <c:cat>
            <c:strRef>
              <c:f>Sheet1!$A$15:$A$24</c:f>
              <c:strCache>
                <c:ptCount val="10"/>
                <c:pt idx="0">
                  <c:v>Q1 2023</c:v>
                </c:pt>
                <c:pt idx="1">
                  <c:v>Q2 2023</c:v>
                </c:pt>
                <c:pt idx="2">
                  <c:v>Q3 2023</c:v>
                </c:pt>
                <c:pt idx="3">
                  <c:v>Q4 2023</c:v>
                </c:pt>
                <c:pt idx="4">
                  <c:v>Q1 2024</c:v>
                </c:pt>
                <c:pt idx="5">
                  <c:v>Q2 2024</c:v>
                </c:pt>
                <c:pt idx="6">
                  <c:v>Q3 2024</c:v>
                </c:pt>
                <c:pt idx="7">
                  <c:v>Q4 2024</c:v>
                </c:pt>
                <c:pt idx="8">
                  <c:v>Q1 2025</c:v>
                </c:pt>
                <c:pt idx="9">
                  <c:v>Q2 2025</c:v>
                </c:pt>
              </c:strCache>
            </c:strRef>
          </c:cat>
          <c:val>
            <c:numRef>
              <c:f>Sheet1!$E$15:$E$21</c:f>
              <c:numCache>
                <c:formatCode>General</c:formatCode>
                <c:ptCount val="7"/>
                <c:pt idx="0">
                  <c:v>307529</c:v>
                </c:pt>
                <c:pt idx="1">
                  <c:v>370327</c:v>
                </c:pt>
                <c:pt idx="2">
                  <c:v>438962</c:v>
                </c:pt>
                <c:pt idx="3">
                  <c:v>246802</c:v>
                </c:pt>
                <c:pt idx="4">
                  <c:v>389178</c:v>
                </c:pt>
                <c:pt idx="5">
                  <c:v>376418</c:v>
                </c:pt>
                <c:pt idx="6">
                  <c:v>222444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marker val="0"/>
        <c:smooth val="0"/>
        <c:axId val="1866169489"/>
        <c:axId val="1866169490"/>
      </c:lineChart>
      <c:catAx>
        <c:axId val="1866169489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1866169490"/>
        <c:crosses val="autoZero"/>
        <c:auto val="1"/>
        <c:lblAlgn val="ctr"/>
        <c:lblOffset val="100"/>
        <c:tickMarkSkip val="1"/>
        <c:noMultiLvlLbl val="0"/>
      </c:catAx>
      <c:valAx>
        <c:axId val="186616949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186616948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>
        <c:manualLayout/>
      </c:layout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 bwMode="auto">
    <a:xfrm>
      <a:off x="0" y="0"/>
      <a:ext cx="6229470" cy="3222592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7090"/>
          <c:y val="0.059480"/>
          <c:w val="0.849430"/>
          <c:h val="0.594910"/>
        </c:manualLayout>
      </c:layout>
      <c:lineChart>
        <c:grouping val="standard"/>
        <c:varyColors val="0"/>
        <c:ser>
          <c:idx val="0"/>
          <c:order val="0"/>
          <c:tx>
            <c:strRef>
              <c:f>Sheet1!$H$14</c:f>
              <c:strCache>
                <c:ptCount val="1"/>
                <c:pt idx="0">
                  <c:v>Реалистичный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 cmpd="sng" algn="ctr">
              <a:solidFill>
                <a:srgbClr val="000000"/>
              </a:solidFill>
              <a:prstDash val="sysDot"/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1"/>
              </a:solidFill>
              <a:ln/>
            </c:spPr>
          </c:marker>
          <c:cat>
            <c:strRef>
              <c:f>Sheet1!$G$15:$G$24</c:f>
              <c:strCache>
                <c:ptCount val="10"/>
                <c:pt idx="0">
                  <c:v>Q1 2023</c:v>
                </c:pt>
                <c:pt idx="1">
                  <c:v>Q2 2023</c:v>
                </c:pt>
                <c:pt idx="2">
                  <c:v>Q3 2023</c:v>
                </c:pt>
                <c:pt idx="3">
                  <c:v>Q4 2023</c:v>
                </c:pt>
                <c:pt idx="4">
                  <c:v>Q1 2024</c:v>
                </c:pt>
                <c:pt idx="5">
                  <c:v>Q2 2024</c:v>
                </c:pt>
                <c:pt idx="6">
                  <c:v>Q3 2024</c:v>
                </c:pt>
                <c:pt idx="7">
                  <c:v>Q4 2024</c:v>
                </c:pt>
                <c:pt idx="8">
                  <c:v>Q1 2025</c:v>
                </c:pt>
                <c:pt idx="9">
                  <c:v>Q2 2025</c:v>
                </c:pt>
              </c:strCache>
            </c:strRef>
          </c:cat>
          <c:val>
            <c:numRef>
              <c:f>Sheet1!$H$15:$H$24</c:f>
              <c:numCache>
                <c:formatCode>General</c:formatCode>
                <c:ptCount val="10"/>
                <c:pt idx="0">
                  <c:v>57601</c:v>
                </c:pt>
                <c:pt idx="1">
                  <c:v>59167</c:v>
                </c:pt>
                <c:pt idx="2">
                  <c:v>21674</c:v>
                </c:pt>
                <c:pt idx="3">
                  <c:v>14169</c:v>
                </c:pt>
                <c:pt idx="4">
                  <c:v>11729</c:v>
                </c:pt>
                <c:pt idx="5">
                  <c:v>13019</c:v>
                </c:pt>
                <c:pt idx="6">
                  <c:v>17822</c:v>
                </c:pt>
                <c:pt idx="7">
                  <c:v>14156</c:v>
                </c:pt>
                <c:pt idx="8">
                  <c:v>31603</c:v>
                </c:pt>
                <c:pt idx="9">
                  <c:v>15890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Sheet1!$I$14</c:f>
              <c:strCache>
                <c:ptCount val="1"/>
                <c:pt idx="0">
                  <c:v>Оптимистичный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 cmpd="sng" algn="ctr">
              <a:solidFill>
                <a:schemeClr val="tx1">
                  <a:lumMod val="50000"/>
                  <a:lumOff val="50000"/>
                </a:schemeClr>
              </a:solidFill>
              <a:prstDash val="sysDash"/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2"/>
              </a:solidFill>
              <a:ln/>
            </c:spPr>
          </c:marker>
          <c:cat>
            <c:strRef>
              <c:f>Sheet1!$G$15:$G$24</c:f>
              <c:strCache>
                <c:ptCount val="10"/>
                <c:pt idx="0">
                  <c:v>Q1 2023</c:v>
                </c:pt>
                <c:pt idx="1">
                  <c:v>Q2 2023</c:v>
                </c:pt>
                <c:pt idx="2">
                  <c:v>Q3 2023</c:v>
                </c:pt>
                <c:pt idx="3">
                  <c:v>Q4 2023</c:v>
                </c:pt>
                <c:pt idx="4">
                  <c:v>Q1 2024</c:v>
                </c:pt>
                <c:pt idx="5">
                  <c:v>Q2 2024</c:v>
                </c:pt>
                <c:pt idx="6">
                  <c:v>Q3 2024</c:v>
                </c:pt>
                <c:pt idx="7">
                  <c:v>Q4 2024</c:v>
                </c:pt>
                <c:pt idx="8">
                  <c:v>Q1 2025</c:v>
                </c:pt>
                <c:pt idx="9">
                  <c:v>Q2 2025</c:v>
                </c:pt>
              </c:strCache>
            </c:strRef>
          </c:cat>
          <c:val>
            <c:numRef>
              <c:f>Sheet1!$I$15:$I$24</c:f>
              <c:numCache>
                <c:formatCode>General</c:formatCode>
                <c:ptCount val="10"/>
                <c:pt idx="0">
                  <c:v>57601</c:v>
                </c:pt>
                <c:pt idx="1">
                  <c:v>59167</c:v>
                </c:pt>
                <c:pt idx="2">
                  <c:v>21674</c:v>
                </c:pt>
                <c:pt idx="3">
                  <c:v>14169</c:v>
                </c:pt>
                <c:pt idx="4">
                  <c:v>11729</c:v>
                </c:pt>
                <c:pt idx="5">
                  <c:v>13019</c:v>
                </c:pt>
                <c:pt idx="6">
                  <c:v>17822</c:v>
                </c:pt>
                <c:pt idx="7">
                  <c:v>16987.2</c:v>
                </c:pt>
                <c:pt idx="8">
                  <c:v>37923.6</c:v>
                </c:pt>
                <c:pt idx="9">
                  <c:v>19068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Sheet1!$J$14</c:f>
              <c:strCache>
                <c:ptCount val="1"/>
                <c:pt idx="0">
                  <c:v>Пессимистичный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/>
            </a:solidFill>
            <a:ln w="28575" cap="rnd" cmpd="sng" algn="ctr">
              <a:solidFill>
                <a:srgbClr val="000000"/>
              </a:solidFill>
              <a:prstDash val="dashDot"/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3"/>
              </a:solidFill>
              <a:ln/>
            </c:spPr>
          </c:marker>
          <c:cat>
            <c:strRef>
              <c:f>Sheet1!$G$15:$G$24</c:f>
              <c:strCache>
                <c:ptCount val="10"/>
                <c:pt idx="0">
                  <c:v>Q1 2023</c:v>
                </c:pt>
                <c:pt idx="1">
                  <c:v>Q2 2023</c:v>
                </c:pt>
                <c:pt idx="2">
                  <c:v>Q3 2023</c:v>
                </c:pt>
                <c:pt idx="3">
                  <c:v>Q4 2023</c:v>
                </c:pt>
                <c:pt idx="4">
                  <c:v>Q1 2024</c:v>
                </c:pt>
                <c:pt idx="5">
                  <c:v>Q2 2024</c:v>
                </c:pt>
                <c:pt idx="6">
                  <c:v>Q3 2024</c:v>
                </c:pt>
                <c:pt idx="7">
                  <c:v>Q4 2024</c:v>
                </c:pt>
                <c:pt idx="8">
                  <c:v>Q1 2025</c:v>
                </c:pt>
                <c:pt idx="9">
                  <c:v>Q2 2025</c:v>
                </c:pt>
              </c:strCache>
            </c:strRef>
          </c:cat>
          <c:val>
            <c:numRef>
              <c:f>Sheet1!$J$15:$J$24</c:f>
              <c:numCache>
                <c:formatCode>General</c:formatCode>
                <c:ptCount val="10"/>
                <c:pt idx="0">
                  <c:v>57601</c:v>
                </c:pt>
                <c:pt idx="1">
                  <c:v>59167</c:v>
                </c:pt>
                <c:pt idx="2">
                  <c:v>21674</c:v>
                </c:pt>
                <c:pt idx="3">
                  <c:v>14169</c:v>
                </c:pt>
                <c:pt idx="4">
                  <c:v>11729</c:v>
                </c:pt>
                <c:pt idx="5">
                  <c:v>13019</c:v>
                </c:pt>
                <c:pt idx="6">
                  <c:v>17822</c:v>
                </c:pt>
                <c:pt idx="7">
                  <c:v>11324.800000000001</c:v>
                </c:pt>
                <c:pt idx="8">
                  <c:v>25282.4</c:v>
                </c:pt>
                <c:pt idx="9">
                  <c:v>12712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Sheet1!$K$14</c:f>
              <c:strCache>
                <c:ptCount val="1"/>
                <c:pt idx="0">
                  <c:v>Мобильные
банковские троянцы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4"/>
            </a:solidFill>
            <a:ln w="28575" cap="rnd" cmpd="sng" algn="ctr">
              <a:solidFill>
                <a:schemeClr val="tx1"/>
              </a:solidFill>
              <a:prstDash val="solid"/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4"/>
              </a:solidFill>
              <a:ln/>
            </c:spPr>
          </c:marker>
          <c:cat>
            <c:strRef>
              <c:f>Sheet1!$G$15:$G$24</c:f>
              <c:strCache>
                <c:ptCount val="10"/>
                <c:pt idx="0">
                  <c:v>Q1 2023</c:v>
                </c:pt>
                <c:pt idx="1">
                  <c:v>Q2 2023</c:v>
                </c:pt>
                <c:pt idx="2">
                  <c:v>Q3 2023</c:v>
                </c:pt>
                <c:pt idx="3">
                  <c:v>Q4 2023</c:v>
                </c:pt>
                <c:pt idx="4">
                  <c:v>Q1 2024</c:v>
                </c:pt>
                <c:pt idx="5">
                  <c:v>Q2 2024</c:v>
                </c:pt>
                <c:pt idx="6">
                  <c:v>Q3 2024</c:v>
                </c:pt>
                <c:pt idx="7">
                  <c:v>Q4 2024</c:v>
                </c:pt>
                <c:pt idx="8">
                  <c:v>Q1 2025</c:v>
                </c:pt>
                <c:pt idx="9">
                  <c:v>Q2 2025</c:v>
                </c:pt>
              </c:strCache>
            </c:strRef>
          </c:cat>
          <c:val>
            <c:numRef>
              <c:f>Sheet1!$K$15:$K$21</c:f>
              <c:numCache>
                <c:formatCode>General</c:formatCode>
                <c:ptCount val="7"/>
                <c:pt idx="0">
                  <c:v>57601</c:v>
                </c:pt>
                <c:pt idx="1">
                  <c:v>59167</c:v>
                </c:pt>
                <c:pt idx="2">
                  <c:v>21674</c:v>
                </c:pt>
                <c:pt idx="3">
                  <c:v>14169</c:v>
                </c:pt>
                <c:pt idx="4">
                  <c:v>11729</c:v>
                </c:pt>
                <c:pt idx="5">
                  <c:v>13019</c:v>
                </c:pt>
                <c:pt idx="6">
                  <c:v>17822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marker val="0"/>
        <c:smooth val="0"/>
        <c:axId val="1866169495"/>
        <c:axId val="1866169496"/>
      </c:lineChart>
      <c:catAx>
        <c:axId val="1866169495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1866169496"/>
        <c:crosses val="autoZero"/>
        <c:auto val="1"/>
        <c:lblAlgn val="ctr"/>
        <c:lblOffset val="100"/>
        <c:tickMarkSkip val="1"/>
        <c:noMultiLvlLbl val="0"/>
      </c:catAx>
      <c:valAx>
        <c:axId val="1866169496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1866169495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>
        <c:manualLayout/>
      </c:layout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 bwMode="auto">
    <a:xfrm>
      <a:off x="0" y="0"/>
      <a:ext cx="6206512" cy="3609550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7090"/>
          <c:y val="0.059480"/>
          <c:w val="0.849430"/>
          <c:h val="0.594910"/>
        </c:manualLayout>
      </c:layout>
      <c:lineChart>
        <c:grouping val="standard"/>
        <c:varyColors val="0"/>
        <c:ser>
          <c:idx val="0"/>
          <c:order val="0"/>
          <c:tx>
            <c:strRef>
              <c:f>Sheet1!$R$14</c:f>
              <c:strCache>
                <c:ptCount val="1"/>
                <c:pt idx="0">
                  <c:v>Реалистичный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 cmpd="sng" algn="ctr">
              <a:solidFill>
                <a:srgbClr val="000000"/>
              </a:solidFill>
              <a:prstDash val="sysDot"/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1"/>
              </a:solidFill>
              <a:ln/>
            </c:spPr>
          </c:marker>
          <c:cat>
            <c:strRef>
              <c:f>Sheet1!$Q$15:$Q$24</c:f>
              <c:strCache>
                <c:ptCount val="10"/>
                <c:pt idx="0">
                  <c:v>Q1 2023</c:v>
                </c:pt>
                <c:pt idx="1">
                  <c:v>Q2 2023</c:v>
                </c:pt>
                <c:pt idx="2">
                  <c:v>Q3 2023</c:v>
                </c:pt>
                <c:pt idx="3">
                  <c:v>Q4 2023</c:v>
                </c:pt>
                <c:pt idx="4">
                  <c:v>Q1 2024</c:v>
                </c:pt>
                <c:pt idx="5">
                  <c:v>Q2 2024</c:v>
                </c:pt>
                <c:pt idx="6">
                  <c:v>Q3 2024</c:v>
                </c:pt>
                <c:pt idx="7">
                  <c:v>Q4 2024</c:v>
                </c:pt>
                <c:pt idx="8">
                  <c:v>Q1 2025</c:v>
                </c:pt>
                <c:pt idx="9">
                  <c:v>Q2 2025</c:v>
                </c:pt>
              </c:strCache>
            </c:strRef>
          </c:cat>
          <c:val>
            <c:numRef>
              <c:f>Sheet1!$R$15:$R$24</c:f>
              <c:numCache>
                <c:formatCode>General</c:formatCode>
                <c:ptCount val="10"/>
                <c:pt idx="0">
                  <c:v>3089</c:v>
                </c:pt>
                <c:pt idx="1">
                  <c:v>1917</c:v>
                </c:pt>
                <c:pt idx="2">
                  <c:v>11387</c:v>
                </c:pt>
                <c:pt idx="3">
                  <c:v>6105</c:v>
                </c:pt>
                <c:pt idx="4">
                  <c:v>7070</c:v>
                </c:pt>
                <c:pt idx="5">
                  <c:v>4456</c:v>
                </c:pt>
                <c:pt idx="6">
                  <c:v>2109</c:v>
                </c:pt>
                <c:pt idx="7">
                  <c:v>4545</c:v>
                </c:pt>
                <c:pt idx="8">
                  <c:v>9489</c:v>
                </c:pt>
                <c:pt idx="9">
                  <c:v>9587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Sheet1!$S$14</c:f>
              <c:strCache>
                <c:ptCount val="1"/>
                <c:pt idx="0">
                  <c:v>Оптимистичный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 cmpd="sng" algn="ctr">
              <a:solidFill>
                <a:schemeClr val="tx1">
                  <a:lumMod val="50000"/>
                  <a:lumOff val="50000"/>
                </a:schemeClr>
              </a:solidFill>
              <a:prstDash val="sysDash"/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2"/>
              </a:solidFill>
              <a:ln/>
            </c:spPr>
          </c:marker>
          <c:cat>
            <c:strRef>
              <c:f>Sheet1!$Q$15:$Q$24</c:f>
              <c:strCache>
                <c:ptCount val="10"/>
                <c:pt idx="0">
                  <c:v>Q1 2023</c:v>
                </c:pt>
                <c:pt idx="1">
                  <c:v>Q2 2023</c:v>
                </c:pt>
                <c:pt idx="2">
                  <c:v>Q3 2023</c:v>
                </c:pt>
                <c:pt idx="3">
                  <c:v>Q4 2023</c:v>
                </c:pt>
                <c:pt idx="4">
                  <c:v>Q1 2024</c:v>
                </c:pt>
                <c:pt idx="5">
                  <c:v>Q2 2024</c:v>
                </c:pt>
                <c:pt idx="6">
                  <c:v>Q3 2024</c:v>
                </c:pt>
                <c:pt idx="7">
                  <c:v>Q4 2024</c:v>
                </c:pt>
                <c:pt idx="8">
                  <c:v>Q1 2025</c:v>
                </c:pt>
                <c:pt idx="9">
                  <c:v>Q2 2025</c:v>
                </c:pt>
              </c:strCache>
            </c:strRef>
          </c:cat>
          <c:val>
            <c:numRef>
              <c:f>Sheet1!$S$15:$S$24</c:f>
              <c:numCache>
                <c:formatCode>General</c:formatCode>
                <c:ptCount val="10"/>
                <c:pt idx="0">
                  <c:v>3089</c:v>
                </c:pt>
                <c:pt idx="1">
                  <c:v>1917</c:v>
                </c:pt>
                <c:pt idx="2">
                  <c:v>11387</c:v>
                </c:pt>
                <c:pt idx="3">
                  <c:v>6105</c:v>
                </c:pt>
                <c:pt idx="4">
                  <c:v>7070</c:v>
                </c:pt>
                <c:pt idx="5">
                  <c:v>4456</c:v>
                </c:pt>
                <c:pt idx="6">
                  <c:v>2109</c:v>
                </c:pt>
                <c:pt idx="7">
                  <c:v>5454</c:v>
                </c:pt>
                <c:pt idx="8">
                  <c:v>11386.8</c:v>
                </c:pt>
                <c:pt idx="9">
                  <c:v>11504.4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Sheet1!$T$14</c:f>
              <c:strCache>
                <c:ptCount val="1"/>
                <c:pt idx="0">
                  <c:v>Пессимистичный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/>
            </a:solidFill>
            <a:ln w="28575" cap="rnd" cmpd="sng" algn="ctr">
              <a:solidFill>
                <a:srgbClr val="000000"/>
              </a:solidFill>
              <a:prstDash val="dashDot"/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3"/>
              </a:solidFill>
              <a:ln/>
            </c:spPr>
          </c:marker>
          <c:cat>
            <c:strRef>
              <c:f>Sheet1!$Q$15:$Q$24</c:f>
              <c:strCache>
                <c:ptCount val="10"/>
                <c:pt idx="0">
                  <c:v>Q1 2023</c:v>
                </c:pt>
                <c:pt idx="1">
                  <c:v>Q2 2023</c:v>
                </c:pt>
                <c:pt idx="2">
                  <c:v>Q3 2023</c:v>
                </c:pt>
                <c:pt idx="3">
                  <c:v>Q4 2023</c:v>
                </c:pt>
                <c:pt idx="4">
                  <c:v>Q1 2024</c:v>
                </c:pt>
                <c:pt idx="5">
                  <c:v>Q2 2024</c:v>
                </c:pt>
                <c:pt idx="6">
                  <c:v>Q3 2024</c:v>
                </c:pt>
                <c:pt idx="7">
                  <c:v>Q4 2024</c:v>
                </c:pt>
                <c:pt idx="8">
                  <c:v>Q1 2025</c:v>
                </c:pt>
                <c:pt idx="9">
                  <c:v>Q2 2025</c:v>
                </c:pt>
              </c:strCache>
            </c:strRef>
          </c:cat>
          <c:val>
            <c:numRef>
              <c:f>Sheet1!$T$15:$T$24</c:f>
              <c:numCache>
                <c:formatCode>General</c:formatCode>
                <c:ptCount val="10"/>
                <c:pt idx="0">
                  <c:v>3089</c:v>
                </c:pt>
                <c:pt idx="1">
                  <c:v>1917</c:v>
                </c:pt>
                <c:pt idx="2">
                  <c:v>11387</c:v>
                </c:pt>
                <c:pt idx="3">
                  <c:v>6105</c:v>
                </c:pt>
                <c:pt idx="4">
                  <c:v>7070</c:v>
                </c:pt>
                <c:pt idx="5">
                  <c:v>4456</c:v>
                </c:pt>
                <c:pt idx="6">
                  <c:v>2109</c:v>
                </c:pt>
                <c:pt idx="7">
                  <c:v>3636</c:v>
                </c:pt>
                <c:pt idx="8">
                  <c:v>7591.200000000001</c:v>
                </c:pt>
                <c:pt idx="9">
                  <c:v>7669.6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Sheet1!$U$14</c:f>
              <c:strCache>
                <c:ptCount val="1"/>
                <c:pt idx="0">
                  <c:v>Новые модификации
шифровальщиков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4"/>
            </a:solidFill>
            <a:ln w="28575" cap="rnd" cmpd="sng" algn="ctr">
              <a:solidFill>
                <a:schemeClr val="tx1"/>
              </a:solidFill>
              <a:prstDash val="solid"/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4"/>
              </a:solidFill>
              <a:ln/>
            </c:spPr>
          </c:marker>
          <c:cat>
            <c:strRef>
              <c:f>Sheet1!$Q$15:$Q$24</c:f>
              <c:strCache>
                <c:ptCount val="10"/>
                <c:pt idx="0">
                  <c:v>Q1 2023</c:v>
                </c:pt>
                <c:pt idx="1">
                  <c:v>Q2 2023</c:v>
                </c:pt>
                <c:pt idx="2">
                  <c:v>Q3 2023</c:v>
                </c:pt>
                <c:pt idx="3">
                  <c:v>Q4 2023</c:v>
                </c:pt>
                <c:pt idx="4">
                  <c:v>Q1 2024</c:v>
                </c:pt>
                <c:pt idx="5">
                  <c:v>Q2 2024</c:v>
                </c:pt>
                <c:pt idx="6">
                  <c:v>Q3 2024</c:v>
                </c:pt>
                <c:pt idx="7">
                  <c:v>Q4 2024</c:v>
                </c:pt>
                <c:pt idx="8">
                  <c:v>Q1 2025</c:v>
                </c:pt>
                <c:pt idx="9">
                  <c:v>Q2 2025</c:v>
                </c:pt>
              </c:strCache>
            </c:strRef>
          </c:cat>
          <c:val>
            <c:numRef>
              <c:f>Sheet1!$U$15:$U$21</c:f>
              <c:numCache>
                <c:formatCode>General</c:formatCode>
                <c:ptCount val="7"/>
                <c:pt idx="0">
                  <c:v>3089</c:v>
                </c:pt>
                <c:pt idx="1">
                  <c:v>1917</c:v>
                </c:pt>
                <c:pt idx="2">
                  <c:v>11387</c:v>
                </c:pt>
                <c:pt idx="3">
                  <c:v>6105</c:v>
                </c:pt>
                <c:pt idx="4">
                  <c:v>7070</c:v>
                </c:pt>
                <c:pt idx="5">
                  <c:v>4456</c:v>
                </c:pt>
                <c:pt idx="6">
                  <c:v>2109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marker val="0"/>
        <c:smooth val="0"/>
        <c:axId val="1866169497"/>
        <c:axId val="1866169498"/>
      </c:lineChart>
      <c:catAx>
        <c:axId val="1866169497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1866169498"/>
        <c:crosses val="autoZero"/>
        <c:auto val="1"/>
        <c:lblAlgn val="ctr"/>
        <c:lblOffset val="100"/>
        <c:tickMarkSkip val="1"/>
        <c:noMultiLvlLbl val="0"/>
      </c:catAx>
      <c:valAx>
        <c:axId val="1866169498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1866169497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>
        <c:manualLayout/>
      </c:layout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 bwMode="auto">
    <a:xfrm>
      <a:off x="0" y="0"/>
      <a:ext cx="6206512" cy="3612770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tx1"/>
            </a:solidFill>
            <a:ln>
              <a:noFill/>
            </a:ln>
          </c:spPr>
          <c:invertIfNegative val="0"/>
          <c:cat>
            <c:numRef>
              <c:f>Sheet1!$A$43:$A$47</c:f>
              <c:numCache>
                <c:formatCode>General</c:formatCode>
                <c:ptCount val="5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  <c:pt idx="4">
                  <c:v>2023</c:v>
                </c:pt>
              </c:numCache>
            </c:numRef>
          </c:cat>
          <c:val>
            <c:numRef>
              <c:f>Sheet1!$B$43:$B$47</c:f>
              <c:numCache>
                <c:formatCode>General</c:formatCode>
                <c:ptCount val="5"/>
                <c:pt idx="0">
                  <c:v>15168</c:v>
                </c:pt>
                <c:pt idx="1">
                  <c:v>18610</c:v>
                </c:pt>
                <c:pt idx="2">
                  <c:v>21401</c:v>
                </c:pt>
                <c:pt idx="3">
                  <c:v>23259</c:v>
                </c:pt>
                <c:pt idx="4">
                  <c:v>25011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5"/>
        <c:axId val="1866169499"/>
        <c:axId val="1866169500"/>
      </c:barChart>
      <c:catAx>
        <c:axId val="18661694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1866169500"/>
        <c:crosses val="autoZero"/>
        <c:auto val="1"/>
        <c:lblAlgn val="ctr"/>
        <c:lblOffset val="100"/>
        <c:tickMarkSkip val="1"/>
        <c:noMultiLvlLbl val="0"/>
      </c:catAx>
      <c:valAx>
        <c:axId val="186616950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186616949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>
      <a:off x="0" y="0"/>
      <a:ext cx="5638798" cy="272414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2025-01-04T11:26:47Z</dcterms:modified>
</cp:coreProperties>
</file>