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ea3z1fh5vd5" w:id="0"/>
      <w:bookmarkEnd w:id="0"/>
      <w:r w:rsidDel="00000000" w:rsidR="00000000" w:rsidRPr="00000000">
        <w:rPr>
          <w:rtl w:val="0"/>
        </w:rPr>
        <w:t xml:space="preserve">Relazione Sistemi - Es4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561514wyr5h" w:id="1"/>
      <w:bookmarkEnd w:id="1"/>
      <w:r w:rsidDel="00000000" w:rsidR="00000000" w:rsidRPr="00000000">
        <w:rPr>
          <w:rtl w:val="0"/>
        </w:rPr>
        <w:t xml:space="preserve">Progettazione della rete: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rete è costituita da 4 sottoreti formate da 3 dispositivi per le sottoreti cablate e 2 dispositivi per la sottorete wireless.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wpbd9a3m4ej" w:id="2"/>
      <w:bookmarkEnd w:id="2"/>
      <w:r w:rsidDel="00000000" w:rsidR="00000000" w:rsidRPr="00000000">
        <w:rPr>
          <w:rtl w:val="0"/>
        </w:rPr>
        <w:t xml:space="preserve">Configurazione del router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93248" cy="3897976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3248" cy="3897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Questa è la tipica configurazione per le 4 subnet.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 imposta l’indirizzo del router per ogni interfaccia FastEthernet collegata, così da avere 4 gateway diversi. La subnet mask sarà generata in base all’indirizzo ip inserito, questa vota di classe 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sfolyjmqnih" w:id="3"/>
      <w:bookmarkEnd w:id="3"/>
      <w:r w:rsidDel="00000000" w:rsidR="00000000" w:rsidRPr="00000000">
        <w:rPr>
          <w:rtl w:val="0"/>
        </w:rPr>
        <w:t xml:space="preserve">Configurazione Access Point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Per configurare l’Acces point serve indicare il tipo di cifratura della rete WiFi (in questo caso WPA-psk) e inserire la password.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 questa esercitazione ho lasciato il canale e l’SSID (il nome della rete) come quelli di default dato che di rete wireless ne è presente solo una. 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oukqv28g9uoy" w:id="4"/>
      <w:bookmarkEnd w:id="4"/>
      <w:r w:rsidDel="00000000" w:rsidR="00000000" w:rsidRPr="00000000">
        <w:rPr>
          <w:rtl w:val="0"/>
        </w:rPr>
        <w:t xml:space="preserve">Configurazione Host (cablato)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Gli host connessi tramite cavo FastEthernet allo switch e poi al router sono configurati inserendo nel campo gateway l’indirizzo ip del router assegnato alla subnet alla quale è collegato.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Dal pannello dell’interfaccia di rete si configura poi l'indirizzo (statico) dell’host e la subnetmask (automaticamente generata).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20764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8znndyk5cut0" w:id="5"/>
      <w:bookmarkEnd w:id="5"/>
      <w:r w:rsidDel="00000000" w:rsidR="00000000" w:rsidRPr="00000000">
        <w:rPr>
          <w:rtl w:val="0"/>
        </w:rPr>
        <w:t xml:space="preserve">Configurazione Host (wireless)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Nella configurazione di un host connesso tramite connessione wireless, il gateway si imposta allo stesso modo, mentre per la connessione bisogna impostare il tipo di criptazione della password e inserire la password per connettersi all’ Acces Point, per poi andare a impostare l’indirizzo ip(statico).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5sawjzur41lq" w:id="6"/>
      <w:bookmarkEnd w:id="6"/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d0w17lg6ge4q" w:id="7"/>
      <w:bookmarkEnd w:id="7"/>
      <w:r w:rsidDel="00000000" w:rsidR="00000000" w:rsidRPr="00000000">
        <w:rPr>
          <w:rtl w:val="0"/>
        </w:rPr>
        <w:t xml:space="preserve">Ping 192.168.0.x subnet: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-PC0 -&gt; PC1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282315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391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2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-PC0 -&gt; PC2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6954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-PC1 -&gt; PC2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1728423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17868" l="0" r="0" t="1924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2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d6smhtogl96" w:id="8"/>
      <w:bookmarkEnd w:id="8"/>
      <w:r w:rsidDel="00000000" w:rsidR="00000000" w:rsidRPr="00000000">
        <w:rPr>
          <w:rtl w:val="0"/>
        </w:rPr>
        <w:t xml:space="preserve">Ping 192.168.1.x subnet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-PC3 -&gt; PC4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19335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-PC3 -&gt; PC5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16478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-PC4 -&gt; PC5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1907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z11t932ucmcz" w:id="9"/>
      <w:bookmarkEnd w:id="9"/>
      <w:r w:rsidDel="00000000" w:rsidR="00000000" w:rsidRPr="00000000">
        <w:rPr>
          <w:rtl w:val="0"/>
        </w:rPr>
        <w:t xml:space="preserve">Ping 192.168.2.x subnet: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-PC6 -&gt; PC7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1145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-PC6 -&gt; PC8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17811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-PC7 -&gt; PC8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19240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5ay24un4t7nu" w:id="10"/>
      <w:bookmarkEnd w:id="10"/>
      <w:r w:rsidDel="00000000" w:rsidR="00000000" w:rsidRPr="00000000">
        <w:rPr>
          <w:rtl w:val="0"/>
        </w:rPr>
        <w:t xml:space="preserve">Ping 192.168.3.x subnet: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-PC9 -&gt; PC10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124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4.png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