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UCC-FVG-03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Grotta Arnaldo Germoni (1525/4429VG) – Trieste (TS)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Friuli-Venezia Giulia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Carso Triestino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Trieste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interna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Stanza nella caverna terminale della grotta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73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N° 4 Hobo MX2205 (Sensore interno + Sensore esterno).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(15 + 40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Stazione di Padriciano (protezione civile FVG)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stazione è posizionata nel salone terminale della grotta, in una saletta con accesso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ristretto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ma non isolato, punti nel rilievo 16,17.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Orientandosi dall'ingresso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della saletta la stazione su roccia si trova a sinistra, la stazione aria si trova a destra, la stazione acqua si trova davanti all’ingresso, spostato sulla sinistra. La stazione su roccia presenta due fori, a 15 e 40 cm di profondità, un pressacavo sigilla il foro, i sensori sono inseriti fino al fondo del foro. I datalogger (con i sensori interni) sono ancorati alla parete della roccia. Nella stazione aria il datalogger è legato con filo di nylon ad un ancoraggio naturale sulla parete inclinata della stanza, il sensore esterno penzola per 20 cm nel vuoto. La stazione acqua, anch’essa con ancoraggi naturali, è formata da un imbuto collegato con nastro isolante ad un tubo con coperta, piegato all’estremità a formare un sifone per l’accumulo di acqua, permettendone il ricambio continuo, il sensore è posizionato nel sifone. Lo stillicidio ha un periodo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 10,7 secondi (goccia singola).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346710</wp:posOffset>
            </wp:positionH>
            <wp:positionV relativeFrom="paragraph">
              <wp:posOffset>34925</wp:posOffset>
            </wp:positionV>
            <wp:extent cx="5547360" cy="3122930"/>
            <wp:effectExtent b="0" l="0" r="0" t="0"/>
            <wp:wrapNone/>
            <wp:docPr id="15907845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122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16511</wp:posOffset>
                </wp:positionH>
                <wp:positionV relativeFrom="paragraph">
                  <wp:posOffset>10160</wp:posOffset>
                </wp:positionV>
                <wp:extent cx="6099175" cy="3155950"/>
                <wp:effectExtent b="0" l="0" r="0" t="0"/>
                <wp:wrapNone/>
                <wp:docPr id="159078449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2763" y="2208375"/>
                          <a:ext cx="6086475" cy="31432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16511</wp:posOffset>
                </wp:positionH>
                <wp:positionV relativeFrom="paragraph">
                  <wp:posOffset>10160</wp:posOffset>
                </wp:positionV>
                <wp:extent cx="6099175" cy="3155950"/>
                <wp:effectExtent b="0" l="0" r="0" t="0"/>
                <wp:wrapNone/>
                <wp:docPr id="15907844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9175" cy="315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Rilievo in sezione e planimetria con la posizione della stazione di monitoraggio (cerchio rosso).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118860" cy="4587240"/>
            <wp:effectExtent b="0" l="0" r="0" t="0"/>
            <wp:docPr id="159078449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5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Stanza al punto 16 e 17 del rilievo, luogo di installazione della stazione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118860" cy="4587240"/>
            <wp:effectExtent b="0" l="0" r="0" t="0"/>
            <wp:docPr id="159078449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18860" cy="45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Figura 2. Punto monitoraggio T Aria. Germoni_3_air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118860" cy="4587240"/>
            <wp:effectExtent b="0" l="0" r="0" t="0"/>
            <wp:docPr id="159078449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18860" cy="45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Figura 3. Punto monitoraggio acqua. Germoni_2_water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118860" cy="4587240"/>
            <wp:effectExtent b="0" l="0" r="0" t="0"/>
            <wp:docPr id="159078449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18860" cy="45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Figura 4. Punto monitoraggio roccia. Da sinistra a destra: Germoni_5_rock40, Germoni_4_rock15</w:t>
      </w:r>
    </w:p>
    <w:sectPr>
      <w:headerReference r:id="rId13" w:type="default"/>
      <w:footerReference r:id="rId14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590784501" name="image1.png"/>
          <a:graphic>
            <a:graphicData uri="http://schemas.openxmlformats.org/drawingml/2006/picture">
              <pic:pic>
                <pic:nvPicPr>
                  <pic:cNvPr descr="Logo_Completo_RGB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590784495" name="image7.png"/>
          <a:graphic>
            <a:graphicData uri="http://schemas.openxmlformats.org/drawingml/2006/picture">
              <pic:pic>
                <pic:nvPicPr>
                  <pic:cNvPr descr="banner smi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59078450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590784500" name="image5.png"/>
          <a:graphic>
            <a:graphicData uri="http://schemas.openxmlformats.org/drawingml/2006/picture">
              <pic:pic>
                <pic:nvPicPr>
                  <pic:cNvPr descr="ucc2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590784494" name="image4.png"/>
          <a:graphic>
            <a:graphicData uri="http://schemas.openxmlformats.org/drawingml/2006/picture">
              <pic:pic>
                <pic:nvPicPr>
                  <pic:cNvPr descr="SSI_ETS_logo_nero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idascalia">
    <w:name w:val="caption"/>
    <w:basedOn w:val="Normale"/>
    <w:next w:val="Normale"/>
    <w:uiPriority w:val="35"/>
    <w:unhideWhenUsed w:val="1"/>
    <w:qFormat w:val="1"/>
    <w:rsid w:val="006226AB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5PMWUPXXqKH5R5eC5sGrR1QHQ==">CgMxLjA4AHIhMXItc0pqdHJjeHZtSC1WdGNxbWJtdEg1ZW9kVXpUdFRq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2026-01-16T17:44:00Z</dcterms:created>
  <dc:creator>Ada</dc:creator>
</cp:coreProperties>
</file>