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682"/>
        <w:gridCol w:w="1781"/>
        <w:gridCol w:w="1917"/>
        <w:gridCol w:w="1849"/>
        <w:gridCol w:w="2135"/>
        <w:gridCol w:w="1433"/>
        <w:gridCol w:w="1980"/>
        <w:gridCol w:w="1913"/>
        <w:gridCol w:w="2268"/>
        <w:gridCol w:w="1771"/>
        <w:gridCol w:w="2157"/>
      </w:tblGrid>
      <w:tr>
        <w:trPr>
          <w:cantSplit/>
          <w:trHeight w:val="625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Study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Sample Size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Mean Trials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WM Paradigm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perscript"/>
                <w:sz w:val="18"/>
                <w:szCs w:val="18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Blinding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vertAlign w:val="superscript"/>
                <w:sz w:val="18"/>
                <w:szCs w:val="18"/>
                <w:color w:val="000000"/>
              </w:rPr>
              <w:t xml:space="preserve">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Acc 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Target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WM Task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Hedges's g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8"/>
                <w:szCs w:val="18"/>
                <w:color w:val="000000"/>
              </w:rPr>
              <w:t xml:space="preserve">Hedges's g SE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Barton (2018)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116.00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Bars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0.18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Bergström &amp; Eriksson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Letter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Bergström &amp; Eriksson (2015)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Face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Bergström &amp; Eriksson (2018)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25.00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d'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Tools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Identity-Location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0.19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Dutta et al.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0.55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King et al. (2016)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Nakano &amp; Ishihara (2020)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DMS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Small Dot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24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Pan (2014)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Face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Soto et al. (2011)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0.38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0.37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Taglialatela Scafati (2017a)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347.00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15.00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464.00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CFS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Taglialatela Scafati (2017b)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0.29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Pictures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0.24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Taglialatela Scafati (2017c)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176.00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Playing Cards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0.23</w:t>
            </w:r>
          </w:p>
        </w:tc>
      </w:tr>
      <w:tr>
        <w:trPr>
          <w:cantSplit/>
          <w:trHeight w:val="624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Taglialatela Scafati (2017rep)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0.10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Unpublished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11.00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CDT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BM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Gabor Patch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Identity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Trübutschek et al. (2017)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80.00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19.00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62.00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0.34</w:t>
            </w:r>
          </w:p>
        </w:tc>
      </w:tr>
      <w:tr>
        <w:trPr>
          <w:cantSplit/>
          <w:trHeight w:val="620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Trübutschek et al. (2019a)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174.00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0.22</w:t>
            </w:r>
          </w:p>
        </w:tc>
      </w:tr>
      <w:tr>
        <w:trPr>
          <w:cantSplit/>
          <w:trHeight w:val="620" w:hRule="auto"/>
        </w:trPr>
        <w:tc>
          <w:tcPr>
            <w:vMerge w:val="restart"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Trübutschek et al. (2019b)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23.00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</w:t>
            </w:r>
          </w:p>
        </w:tc>
      </w:tr>
      <w:tr>
        <w:trPr>
          <w:cantSplit/>
          <w:trHeight w:val="620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Published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30.00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129.00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DET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MM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Accuracy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Square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1.07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48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0.20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CDT = Change Detection Task, DD = Delayed Detection, DMS = Delayed Match-to-sample Task, DET = Delayed Estimation Task</w:t>
            </w:r>
          </w:p>
        </w:tc>
      </w:tr>
      <w:tr>
        <w:trPr>
          <w:cantSplit/>
          <w:trHeight w:val="360" w:hRule="auto"/>
        </w:trPr>
        <w:tc>
          <w:tcPr>
            <w:gridSpan w:val="11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vertAlign w:val="superscript"/>
                <w:sz w:val="22"/>
                <w:szCs w:val="22"/>
                <w:color w:val="000000"/>
              </w:rPr>
              <w:t xml:space="preserve">b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CFS = Continuous Flash Suppression, AB = Attentional Blink, BM = Backward Masking, SM = Sandwich Masking, MM = Metacontrast Masking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06" w:w="1683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2021-09-28T17:20:29Z</dcterms:modified>
  <cp:category/>
</cp:coreProperties>
</file>