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rPr>
          <w:sz w:val="44"/>
          <w:szCs w:val="44"/>
        </w:rPr>
      </w:pPr>
      <w:r>
        <w:rPr>
          <w:sz w:val="44"/>
          <w:szCs w:val="44"/>
          <w:rtl w:val="0"/>
        </w:rPr>
        <w:t>Έγγραφο</w:t>
      </w:r>
      <w:r>
        <w:rPr>
          <w:sz w:val="44"/>
          <w:szCs w:val="44"/>
          <w:rtl w:val="0"/>
          <w:lang w:val="en-US"/>
        </w:rPr>
        <w:t xml:space="preserve"> </w:t>
      </w:r>
      <w:r>
        <w:rPr>
          <w:sz w:val="44"/>
          <w:szCs w:val="44"/>
          <w:rtl w:val="0"/>
        </w:rPr>
        <w:t>απαιτήσεων</w:t>
      </w:r>
      <w:r>
        <w:rPr>
          <w:sz w:val="44"/>
          <w:szCs w:val="44"/>
          <w:rtl w:val="0"/>
          <w:lang w:val="en-US"/>
        </w:rPr>
        <w:t xml:space="preserve"> </w:t>
      </w:r>
      <w:r>
        <w:rPr>
          <w:sz w:val="44"/>
          <w:szCs w:val="44"/>
          <w:rtl w:val="0"/>
        </w:rPr>
        <w:t>εμπλεκομένων</w:t>
      </w:r>
      <w:r>
        <w:rPr>
          <w:sz w:val="44"/>
          <w:szCs w:val="44"/>
          <w:rtl w:val="0"/>
          <w:lang w:val="en-US"/>
        </w:rPr>
        <w:t xml:space="preserve"> </w:t>
      </w:r>
      <w:r>
        <w:rPr>
          <w:sz w:val="44"/>
          <w:szCs w:val="44"/>
          <w:rtl w:val="0"/>
        </w:rPr>
        <w:t>μερών</w:t>
      </w:r>
      <w:r>
        <w:rPr>
          <w:sz w:val="44"/>
          <w:szCs w:val="44"/>
          <w:rtl w:val="0"/>
          <w:lang w:val="en-US"/>
        </w:rPr>
        <w:t xml:space="preserve"> (StRS)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4"/>
          <w:szCs w:val="44"/>
          <w:lang w:val="en-US"/>
        </w:rPr>
        <w:br w:type="textWrapping"/>
      </w:r>
      <w:r>
        <w:rPr>
          <w:sz w:val="44"/>
          <w:szCs w:val="44"/>
          <w:rtl w:val="0"/>
          <w:lang w:val="en-US"/>
        </w:rPr>
        <w:t>Stakeholders Requirements Specification</w:t>
      </w:r>
    </w:p>
    <w:p>
      <w:pPr>
        <w:pStyle w:val="Subtitle A"/>
        <w:rPr>
          <w:sz w:val="30"/>
          <w:szCs w:val="30"/>
        </w:rPr>
      </w:pPr>
      <w:r>
        <w:rPr>
          <w:sz w:val="30"/>
          <w:szCs w:val="30"/>
          <w:rtl w:val="0"/>
        </w:rPr>
        <w:t>[</w:t>
      </w:r>
      <w:r>
        <w:rPr>
          <w:sz w:val="30"/>
          <w:szCs w:val="30"/>
          <w:rtl w:val="0"/>
        </w:rPr>
        <w:t>ΧΩΡΟΙ ΣΤΑΘΜΕΥΣΗΣ ΟΧΗΜΑΤΩΝ</w:t>
      </w:r>
      <w:r>
        <w:rPr>
          <w:sz w:val="30"/>
          <w:szCs w:val="30"/>
          <w:rtl w:val="0"/>
        </w:rPr>
        <w:t>]</w:t>
      </w:r>
    </w:p>
    <w:p>
      <w:pPr>
        <w:pStyle w:val="heading 1"/>
        <w:numPr>
          <w:ilvl w:val="0"/>
          <w:numId w:val="2"/>
        </w:numPr>
      </w:pPr>
      <w:r>
        <w:rPr>
          <w:rtl w:val="0"/>
        </w:rPr>
        <w:t>Εισαγωγή</w:t>
      </w:r>
    </w:p>
    <w:p>
      <w:pPr>
        <w:pStyle w:val="heading 2"/>
      </w:pPr>
      <w:r>
        <w:rPr>
          <w:rtl w:val="0"/>
        </w:rPr>
        <w:t>1.1</w:t>
        <w:tab/>
      </w:r>
      <w:r>
        <w:rPr>
          <w:rtl w:val="0"/>
        </w:rPr>
        <w:t xml:space="preserve">Ταυτότητα </w:t>
      </w:r>
      <w:r>
        <w:rPr>
          <w:rtl w:val="0"/>
        </w:rPr>
        <w:t xml:space="preserve">- </w:t>
      </w:r>
      <w:r>
        <w:rPr>
          <w:rtl w:val="0"/>
        </w:rPr>
        <w:t>επιχειρησιακοί στόχοι</w:t>
      </w:r>
    </w:p>
    <w:p>
      <w:pPr>
        <w:pStyle w:val="Description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Η συγκεκριμένη εφαρμογή διευκολύνει την επίτευξη μιας ποιοτικής οργάνωσης στην εργασία των χώρων στάθμευσης οχημάτων ως προς το αντικείμενο της φόρτισης ηλεκτρικών αυτοκινήτων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.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Ειδικότερα η εφαρμογή δίνει τη δυνατότητα στους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διαχειριστές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χώρ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ων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 στάθμευσης οχημάτων να ελέγχουν την διαδικασία της φόρτισης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να ενημερώνουν τους πελάτες τους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(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ιδιοκτήτες ηλεκτρικών οχημάτων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)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ως προς τη διαθεσιμότητα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να παρακολουθούν τα ποσά ηλεκτρικής ενέργειας που παρέχουν και να υπολογίζουν τα κέρδη τους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heading 2"/>
      </w:pPr>
      <w:r>
        <w:rPr>
          <w:rtl w:val="0"/>
        </w:rPr>
        <w:t>1.2</w:t>
        <w:tab/>
      </w:r>
      <w:r>
        <w:rPr>
          <w:rtl w:val="0"/>
        </w:rPr>
        <w:t>Περίγραμμα επιχειρησιακών λειτουργιών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3702818" cy="2532184"/>
            <wp:effectExtent l="0" t="0" r="0" b="0"/>
            <wp:docPr id="1073741825" name="officeArt object" descr="C:\Users\User\Downloads\Περίγραμμα επιχειρησιακών λειτουργιών (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User\Downloads\Περίγραμμα επιχειρησιακών λειτουργιών (4).png" descr="C:\Users\User\Downloads\Περίγραμμα επιχειρησιακών λειτουργιών (4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818" cy="2532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numPr>
          <w:ilvl w:val="0"/>
          <w:numId w:val="2"/>
        </w:numPr>
      </w:pPr>
      <w:r>
        <w:rPr>
          <w:rtl w:val="0"/>
        </w:rPr>
        <w:t xml:space="preserve">Αναφορές </w:t>
      </w:r>
      <w:r>
        <w:rPr>
          <w:rtl w:val="0"/>
        </w:rPr>
        <w:t xml:space="preserve">- </w:t>
      </w:r>
      <w:r>
        <w:rPr>
          <w:rtl w:val="0"/>
        </w:rPr>
        <w:t>πηγές πληροφοριών</w:t>
      </w:r>
    </w:p>
    <w:p>
      <w:pPr>
        <w:pStyle w:val="Normal.0"/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/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Α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heading 1"/>
        <w:numPr>
          <w:ilvl w:val="0"/>
          <w:numId w:val="2"/>
        </w:numPr>
      </w:pPr>
      <w:r>
        <w:rPr>
          <w:rtl w:val="0"/>
        </w:rPr>
        <w:t>Λειτουργικές απαιτήσεις επιχειρησιακού περιβάλλοντος</w:t>
      </w:r>
    </w:p>
    <w:p>
      <w:pPr>
        <w:pStyle w:val="Normal.0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 xml:space="preserve">3.1 </w:t>
        <w:tab/>
      </w:r>
      <w:r>
        <w:rPr>
          <w:rFonts w:ascii="Calibri Light" w:hAnsi="Calibri Light" w:hint="default"/>
          <w:sz w:val="26"/>
          <w:szCs w:val="26"/>
          <w:rtl w:val="0"/>
        </w:rPr>
        <w:t>Επιχειρησιακές διαδικασίες</w:t>
      </w: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3.1.1 </w:t>
        <w:tab/>
        <w:t xml:space="preserve">    </w:t>
      </w:r>
      <w:r>
        <w:rPr>
          <w:sz w:val="24"/>
          <w:szCs w:val="24"/>
          <w:rtl w:val="0"/>
        </w:rPr>
        <w:t>Προσέγγιση πελατών</w:t>
      </w:r>
    </w:p>
    <w:p>
      <w:pPr>
        <w:pStyle w:val="Description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Η υπηρεσία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θα πρέπει να επιτρέπει στους χώρους στάθμευσης οχημάτων να κοινοποιούν τη τοποθεσία τους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,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 τις τιμές ηλεκτρικής φόρτισης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προσφορές που παρέχουν και τους τρόπους πληρωμής που υποστηρίζουν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έτσι ώστε να προσεγγίζουν τους ενδιαφερόμενους πελάτες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(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ιδιοκτήτες ηλεκτρικών οχημάτων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).</w:t>
      </w: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3.1.2   </w:t>
        <w:tab/>
        <w:t xml:space="preserve">   </w:t>
      </w:r>
      <w:r>
        <w:rPr>
          <w:sz w:val="24"/>
          <w:szCs w:val="24"/>
          <w:rtl w:val="0"/>
        </w:rPr>
        <w:t>Καταχώρηση και διόρθωση δεδομένων</w:t>
      </w:r>
    </w:p>
    <w:p>
      <w:pPr>
        <w:pStyle w:val="Description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Η υπηρεσία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θα πρέπει να διαθέτει δυνατότητα καταχώρησης και διόρθωσης προσωπικών δεδομένων για τους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διαχειριστές χώρων στάθμευσης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οχημάτων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 έτσι ώστε να υλοποιούνται με ακρίβεια οι διεργασίες στις οποίες προβαίνουν μέσω της εφαρμογής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heading 2"/>
        <w:rPr>
          <w:sz w:val="24"/>
          <w:szCs w:val="24"/>
        </w:rPr>
      </w:pPr>
      <w:r>
        <w:rPr>
          <w:rFonts w:ascii="Calibri" w:hAnsi="Calibri"/>
          <w:i w:val="1"/>
          <w:iCs w:val="1"/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sz w:val="24"/>
          <w:szCs w:val="24"/>
          <w:rtl w:val="0"/>
        </w:rPr>
        <w:t xml:space="preserve">3.1.3   </w:t>
        <w:tab/>
        <w:t xml:space="preserve">   </w:t>
      </w:r>
      <w:r>
        <w:rPr>
          <w:sz w:val="24"/>
          <w:szCs w:val="24"/>
          <w:rtl w:val="0"/>
        </w:rPr>
        <w:t>Παρακολούθηση εσόδων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εξόδων</w:t>
      </w:r>
    </w:p>
    <w:p>
      <w:pPr>
        <w:pStyle w:val="Description"/>
        <w:jc w:val="both"/>
        <w:rPr>
          <w:i w:val="0"/>
          <w:iCs w:val="0"/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Η υπηρεσία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 θα πρέπει να διαθέτει δυνατότητα υπολογισμού της παρεχόμενης ηλεκτρικής ενέργειας προς φόρτιση ηλεκτρικών οχημάτων έτσι ώστε να γνωρίζουν οι χώροι στάθμευσης τα λειτουργικά τους έξοδα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.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Επιπρόσθετα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θα πρέπει να διαθέτει δυνατότητα παρακολούθησης συναλλαγών έτσι ώστε εν τέλει να υπολογίζει ο κάθε σταθμός το ενδεχόμενο κέρδος του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heading 2"/>
      </w:pPr>
      <w:r>
        <w:rPr>
          <w:rtl w:val="0"/>
        </w:rPr>
        <w:t>3.2</w:t>
        <w:tab/>
        <w:tab/>
      </w:r>
      <w:r>
        <w:rPr>
          <w:rtl w:val="0"/>
        </w:rPr>
        <w:t>Δείκτες ποιότητας</w:t>
      </w:r>
    </w:p>
    <w:p>
      <w:pPr>
        <w:pStyle w:val="Description"/>
        <w:jc w:val="both"/>
        <w:rPr>
          <w:i w:val="0"/>
          <w:iCs w:val="0"/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Αρχικά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η αξιοπιστία της εφαρμογής μπορεί να ελεγχθεί από τους χώρους στάθμευσης οχημάτων μέσω των αξιολογήσεων τις οποίες θα δύναται να υποβάλει ο εκάστοτε σταθμός ύστερα από τη χρήση της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όπου τυχόν παραλείψεις και δομικές λειτουργικές στρεβλώσεις θα μπορούν να αναφερθούν δημόσια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.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Επιπλέον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η αξιοπιστία των λειτουργικών απαιτήσεων της εφαρμογής ελέγχεται και μέσω άλλων μετρικών όπως για παράδειγμα το «ποσοστό αναπήδησης»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(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bounce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rate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)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κατά την εγγραφή ή την καταχώρηση δεδομένων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heading 1"/>
        <w:numPr>
          <w:ilvl w:val="0"/>
          <w:numId w:val="2"/>
        </w:numPr>
      </w:pPr>
      <w:r>
        <w:rPr>
          <w:rtl w:val="0"/>
        </w:rPr>
        <w:t>Έκθεση απαιτήσεων χρηστών</w:t>
      </w:r>
    </w:p>
    <w:p>
      <w:pPr>
        <w:pStyle w:val="Normal.0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4.1</w:t>
        <w:tab/>
      </w:r>
      <w:r>
        <w:rPr>
          <w:rFonts w:ascii="Calibri Light" w:hAnsi="Calibri Light" w:hint="default"/>
          <w:sz w:val="26"/>
          <w:szCs w:val="26"/>
          <w:rtl w:val="0"/>
        </w:rPr>
        <w:t>Επιχειρησιακό Μοντέλο</w:t>
      </w:r>
    </w:p>
    <w:p>
      <w:pPr>
        <w:pStyle w:val="Description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Η εφαρμογή καθίσταται ως ένα απαραίτητο εργαλείο για τους χώρους στάθμευσης καθώς ικανοποιεί την ανάγκη αυτών για οργάνωση στο αντικείμενο της φόρτισης ηλεκτρικών οχημάτων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αναβαθμίζοντας και εκσυγχρονίζοντας τις επιχειρησιακές τους διαδικασίες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.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Κατά συνέπεια η εφαρμογή μπορεί να γίνει διαδεδομένη λόγω της διευκόλυνσης που παρέχει στη συντέλεση σύνθετων διεργασιών σε ένα απλουστευμένο περιβάλλον ως προς τη χρήση του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. </w:t>
      </w:r>
    </w:p>
    <w:p>
      <w:pPr>
        <w:pStyle w:val="Description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heading 2"/>
      </w:pPr>
      <w:r>
        <w:rPr>
          <w:rtl w:val="0"/>
        </w:rPr>
        <w:t>4.2</w:t>
        <w:tab/>
      </w:r>
      <w:r>
        <w:rPr>
          <w:rtl w:val="0"/>
        </w:rPr>
        <w:t>Διαδικασία εισαγωγής δεδομένων</w:t>
      </w:r>
      <w:r>
        <w:rPr>
          <w:rtl w:val="0"/>
        </w:rPr>
        <w:t>/</w:t>
      </w:r>
      <w:r>
        <w:rPr>
          <w:rtl w:val="0"/>
        </w:rPr>
        <w:t>στοιχείων</w:t>
      </w:r>
    </w:p>
    <w:p>
      <w:pPr>
        <w:pStyle w:val="Description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Η εφαρμογή διαθέτει ένα απλουστευμένο ως προς την εμφάνιση και χρήση του σύστημα εισαγωγής δεδομένων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/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στοιχείων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έτσι ώστε οι χώροι στάθμευσης οχημάτων να μπορούν με ευκολία να εγγραφούν στη διαδικτυακή πλατφόρμα και να αποκτήσουν πρόσβαση στις υπηρεσίες της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. </w:t>
      </w:r>
    </w:p>
    <w:p>
      <w:pPr>
        <w:pStyle w:val="Normal.0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4.3</w:t>
        <w:tab/>
      </w:r>
      <w:r>
        <w:rPr>
          <w:rFonts w:ascii="Calibri Light" w:hAnsi="Calibri Light" w:hint="default"/>
          <w:sz w:val="26"/>
          <w:szCs w:val="26"/>
          <w:rtl w:val="0"/>
        </w:rPr>
        <w:t>Ασφάλεια</w:t>
      </w:r>
    </w:p>
    <w:p>
      <w:pPr>
        <w:pStyle w:val="Normal.0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Με βάση το σύστημα ασφαλείας που υποστηρίζεται από την εφαρμογή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εξυπηρετείται η ανάγκη των χρηστών της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(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χώροι στάθμευσης οχημάτων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)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για εχεμύθεια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να φυλάσσονται δηλαδή με ασφαλή τρόπο τα προσωπικά τους δεδομένα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(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λογαριασμοί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πόσα 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KW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 που παρείχαν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κ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λ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π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).</w:t>
      </w:r>
    </w:p>
    <w:p>
      <w:pPr>
        <w:pStyle w:val="heading 1"/>
        <w:numPr>
          <w:ilvl w:val="0"/>
          <w:numId w:val="2"/>
        </w:numPr>
      </w:pPr>
      <w:r>
        <w:rPr>
          <w:rtl w:val="0"/>
        </w:rPr>
        <w:t>Αρχές του προτεινόμενου συστήματος</w:t>
      </w:r>
    </w:p>
    <w:p>
      <w:pPr>
        <w:pStyle w:val="heading 2"/>
      </w:pPr>
      <w:r>
        <w:rPr>
          <w:rtl w:val="0"/>
        </w:rPr>
        <w:t>5.1</w:t>
        <w:tab/>
      </w:r>
      <w:r>
        <w:rPr>
          <w:rtl w:val="0"/>
        </w:rPr>
        <w:t>Λειτουργικές Αρχές</w:t>
      </w:r>
    </w:p>
    <w:p>
      <w:pPr>
        <w:pStyle w:val="Normal.0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 xml:space="preserve">5.1.1     </w:t>
      </w:r>
      <w:r>
        <w:rPr>
          <w:rFonts w:ascii="Calibri Light" w:hAnsi="Calibri Light" w:hint="default"/>
          <w:rtl w:val="0"/>
        </w:rPr>
        <w:t>Σύστημα</w:t>
      </w:r>
    </w:p>
    <w:p>
      <w:pPr>
        <w:pStyle w:val="Normal.0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Ως βάση του Συστήματος καθίσταται μια διαδικτυακή πλατφόρμα στην οποία οι χρήστες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(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χώροι στάθμευσης οχημάτων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)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εισάγοντας τα απαραίτητα στοιχεία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(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π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χ τοποθεσία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ώρες λειτουργίας κ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λ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π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)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μπορούν να εγγραφούν και να αποκτήσουν άμεση πρόσβαση στις υπηρεσίες της εφαρμογής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. </w:t>
      </w:r>
    </w:p>
    <w:p>
      <w:pPr>
        <w:pStyle w:val="Normal.0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 xml:space="preserve">5.1.2     </w:t>
      </w:r>
      <w:r>
        <w:rPr>
          <w:rFonts w:ascii="Calibri Light" w:hAnsi="Calibri Light" w:hint="default"/>
          <w:rtl w:val="0"/>
        </w:rPr>
        <w:t>Προσβασιμότητα</w:t>
      </w:r>
    </w:p>
    <w:p>
      <w:pPr>
        <w:pStyle w:val="Normal.0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Όλοι οι εγγεγραμμένοι χρήστες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(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χώροι στάθμευσης οχημάτων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)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μπορούν να έχουν πρόσβαση στα δεδομένα της εφαρμογής που τους αφορούν όπως για παράδειγμα ο υπολογισμός των παρεχόμενων Κ</w:t>
      </w:r>
      <w:r>
        <w:rPr>
          <w:outline w:val="0"/>
          <w:color w:val="808080"/>
          <w:sz w:val="22"/>
          <w:szCs w:val="22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W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η παρακολούθηση μεθόδων κοστολόγησης που χρησιμοποιήθηκαν κ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λ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π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 xml:space="preserve">5.1.3     </w:t>
      </w:r>
      <w:r>
        <w:rPr>
          <w:rFonts w:ascii="Calibri Light" w:hAnsi="Calibri Light" w:hint="default"/>
          <w:rtl w:val="0"/>
        </w:rPr>
        <w:t>Έλεγχος δεδομένων</w:t>
      </w:r>
      <w:r>
        <w:rPr>
          <w:rFonts w:ascii="Calibri Light" w:hAnsi="Calibri Light"/>
          <w:rtl w:val="0"/>
        </w:rPr>
        <w:t>/</w:t>
      </w:r>
      <w:r>
        <w:rPr>
          <w:rFonts w:ascii="Calibri Light" w:hAnsi="Calibri Light" w:hint="default"/>
          <w:rtl w:val="0"/>
        </w:rPr>
        <w:t>στοιχείων</w:t>
      </w:r>
    </w:p>
    <w:p>
      <w:pPr>
        <w:pStyle w:val="Normal.0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Τα στοιχεία που εισχωρούν οι εκάστοτε χώροι στάθμευσης οχημάτων πριν γίνουν αποδεκτά από την πλατφόρμα ελέγχονται για την εγκυρότητα τους έτσι ώστε να διασφαλιστεί η αξιοπιστία της εφαρμογής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Normal.0"/>
        <w:jc w:val="both"/>
        <w:rPr>
          <w:rFonts w:ascii="Calibri Light" w:cs="Calibri Light" w:hAnsi="Calibri Light" w:eastAsia="Calibri Light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numPr>
          <w:ilvl w:val="0"/>
          <w:numId w:val="2"/>
        </w:numPr>
      </w:pPr>
      <w:r>
        <w:rPr>
          <w:rtl w:val="0"/>
        </w:rPr>
        <w:t>Περιορισμοί στο πλαίσιο του έργου</w:t>
      </w:r>
    </w:p>
    <w:p>
      <w:pPr>
        <w:pStyle w:val="Normal.0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6.1</w:t>
        <w:tab/>
      </w:r>
      <w:r>
        <w:rPr>
          <w:rFonts w:ascii="Calibri Light" w:hAnsi="Calibri Light" w:hint="default"/>
          <w:sz w:val="26"/>
          <w:szCs w:val="26"/>
          <w:rtl w:val="0"/>
        </w:rPr>
        <w:t>Περιορισμοί στα προσωπικά δεδομένα</w:t>
      </w:r>
      <w:r>
        <w:rPr>
          <w:rFonts w:ascii="Calibri Light" w:hAnsi="Calibri Light"/>
          <w:sz w:val="26"/>
          <w:szCs w:val="26"/>
          <w:rtl w:val="0"/>
        </w:rPr>
        <w:t>/</w:t>
      </w:r>
      <w:r>
        <w:rPr>
          <w:rFonts w:ascii="Calibri Light" w:hAnsi="Calibri Light" w:hint="default"/>
          <w:sz w:val="26"/>
          <w:szCs w:val="26"/>
          <w:rtl w:val="0"/>
        </w:rPr>
        <w:t>στοιχεία των χρηστών</w:t>
      </w:r>
    </w:p>
    <w:p>
      <w:pPr>
        <w:pStyle w:val="Normal.0"/>
        <w:jc w:val="both"/>
        <w:rPr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Η εφαρμογή είναι πλήρως συμμορφωμένη με τους υπάρχοντες νόμους και διατάξεις αυτών και κατά συνέπεια μέσω των δικλείδων ασφαλείας που παρέχ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ει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 κανείς εκ των εγγεγραμμένων χρηστών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(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χώροι στάθμευσης οχημάτων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)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δεν έχει πρόσβαση στα ευαίσθητα δεδομένα άλλων χρηστών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όπως για παράδειγμα οι συναλλαγές αυτών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τα ποσά ηλεκτρικής ενέργειας που παρείχαν κ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α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Normal.0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6.2</w:t>
        <w:tab/>
      </w:r>
      <w:r>
        <w:rPr>
          <w:rFonts w:ascii="Calibri Light" w:hAnsi="Calibri Light" w:hint="default"/>
          <w:sz w:val="26"/>
          <w:szCs w:val="26"/>
          <w:rtl w:val="0"/>
        </w:rPr>
        <w:t>Περιορισμοί προσβασιμότητας στην εφαρμογή</w:t>
      </w:r>
    </w:p>
    <w:p>
      <w:pPr>
        <w:pStyle w:val="Normal.0"/>
        <w:jc w:val="both"/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Για την πρόσβαση στην εφαρμογή ο εκάστοτε χώρος στάθμευσης οχημάτων καλείται να διαθέτει σύνδεση στο διαδίκτυο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heading 1"/>
        <w:numPr>
          <w:ilvl w:val="0"/>
          <w:numId w:val="2"/>
        </w:numPr>
      </w:pPr>
      <w:r>
        <w:rPr>
          <w:rtl w:val="0"/>
        </w:rPr>
        <w:t>Παράρτημα</w:t>
      </w:r>
      <w:r>
        <w:rPr>
          <w:rtl w:val="0"/>
        </w:rPr>
        <w:t xml:space="preserve">: </w:t>
      </w:r>
      <w:r>
        <w:rPr>
          <w:rtl w:val="0"/>
        </w:rPr>
        <w:t xml:space="preserve">ακρωνύμια και συντομογραφίες </w:t>
      </w:r>
    </w:p>
    <w:p>
      <w:pPr>
        <w:pStyle w:val="Normal.0"/>
      </w:pP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Ν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/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Α</w:t>
      </w:r>
      <w:r>
        <w:rPr>
          <w:outline w:val="0"/>
          <w:color w:val="808080"/>
          <w:sz w:val="22"/>
          <w:szCs w:val="22"/>
          <w:u w:color="808080"/>
          <w:rtl w:val="0"/>
          <w14:textFill>
            <w14:solidFill>
              <w14:srgbClr w14:val="808080"/>
            </w14:solidFill>
          </w14:textFill>
        </w:rPr>
        <w:t>.</w:t>
      </w: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tabs>
        <w:tab w:val="right" w:pos="9000"/>
        <w:tab w:val="clear" w:pos="9360"/>
      </w:tabs>
    </w:pPr>
    <w:r>
      <w:rPr>
        <w:sz w:val="18"/>
        <w:szCs w:val="18"/>
        <w:rtl w:val="0"/>
      </w:rPr>
      <w:t xml:space="preserve">ΟΜΑΔΑ </w:t>
    </w:r>
    <w:r>
      <w:rPr>
        <w:sz w:val="18"/>
        <w:szCs w:val="18"/>
        <w:rtl w:val="0"/>
      </w:rPr>
      <w:t>53</w:t>
      <w:tab/>
    </w:r>
    <w:r>
      <w:rPr>
        <w:sz w:val="18"/>
        <w:szCs w:val="18"/>
        <w:rtl w:val="0"/>
      </w:rPr>
      <w:t xml:space="preserve">ΕΓΓΡΑΦΟ </w:t>
    </w:r>
    <w:r>
      <w:rPr>
        <w:sz w:val="18"/>
        <w:szCs w:val="18"/>
        <w:rtl w:val="0"/>
        <w:lang w:val="en-US"/>
      </w:rPr>
      <w:t>StRS</w:t>
    </w:r>
    <w:r>
      <w:rPr>
        <w:sz w:val="18"/>
        <w:szCs w:val="18"/>
        <w:rtl w:val="0"/>
      </w:rPr>
      <w:t xml:space="preserve"> (2020)</w:t>
      <w:tab/>
    </w:r>
    <w:r>
      <w:rPr>
        <w:sz w:val="18"/>
        <w:szCs w:val="18"/>
        <w:rtl w:val="0"/>
      </w:rPr>
      <w:t xml:space="preserve">Σελ </w:t>
    </w:r>
    <w:r>
      <w:rPr>
        <w:sz w:val="18"/>
        <w:szCs w:val="18"/>
        <w:rtl w:val="0"/>
      </w:rPr>
      <w:fldChar w:fldCharType="begin" w:fldLock="0"/>
    </w:r>
    <w:r>
      <w:rPr>
        <w:sz w:val="18"/>
        <w:szCs w:val="18"/>
        <w:rtl w:val="0"/>
      </w:rPr>
      <w:instrText xml:space="preserve"> PAGE </w:instrText>
    </w:r>
    <w:r>
      <w:rPr>
        <w:sz w:val="18"/>
        <w:szCs w:val="18"/>
        <w:rtl w:val="0"/>
      </w:rPr>
      <w:fldChar w:fldCharType="separate" w:fldLock="0"/>
    </w:r>
    <w:r>
      <w:rPr>
        <w:sz w:val="18"/>
        <w:szCs w:val="18"/>
        <w:rtl w:val="0"/>
      </w:rPr>
    </w:r>
    <w:r>
      <w:rPr>
        <w:sz w:val="18"/>
        <w:szCs w:val="18"/>
        <w:rtl w:val="0"/>
      </w:rPr>
      <w:fldChar w:fldCharType="end" w:fldLock="0"/>
    </w:r>
    <w:r>
      <w:rPr>
        <w:sz w:val="18"/>
        <w:szCs w:val="18"/>
        <w:rtl w:val="0"/>
      </w:rPr>
      <w:t xml:space="preserve"> /  </w:t>
    </w:r>
    <w:r>
      <w:rPr>
        <w:sz w:val="18"/>
        <w:szCs w:val="18"/>
        <w:rtl w:val="0"/>
      </w:rPr>
      <w:fldChar w:fldCharType="begin" w:fldLock="0"/>
    </w:r>
    <w:r>
      <w:rPr>
        <w:sz w:val="18"/>
        <w:szCs w:val="18"/>
        <w:rtl w:val="0"/>
      </w:rPr>
      <w:instrText xml:space="preserve"> NUMPAGES </w:instrText>
    </w:r>
    <w:r>
      <w:rPr>
        <w:sz w:val="18"/>
        <w:szCs w:val="18"/>
        <w:rtl w:val="0"/>
      </w:rPr>
      <w:fldChar w:fldCharType="separate" w:fldLock="0"/>
    </w:r>
    <w:r>
      <w:rPr>
        <w:sz w:val="18"/>
        <w:szCs w:val="18"/>
        <w:rtl w:val="0"/>
      </w:rPr>
    </w:r>
    <w:r>
      <w:rPr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itle A">
    <w:name w:val="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Subtitle A">
    <w:name w:val="Sub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15"/>
      <w:kern w:val="0"/>
      <w:position w:val="0"/>
      <w:sz w:val="28"/>
      <w:szCs w:val="28"/>
      <w:u w:val="none" w:color="5a5a5a"/>
      <w:shd w:val="nil" w:color="auto" w:fill="auto"/>
      <w:vertAlign w:val="baseline"/>
      <w14:textFill>
        <w14:solidFill>
          <w14:srgbClr w14:val="5A5A5A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567" w:right="0" w:hanging="567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scription">
    <w:name w:val="Description"/>
    <w:next w:val="Descri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8496b0"/>
      <w:spacing w:val="0"/>
      <w:kern w:val="0"/>
      <w:position w:val="0"/>
      <w:sz w:val="20"/>
      <w:szCs w:val="20"/>
      <w:u w:val="none" w:color="8496b0"/>
      <w:shd w:val="nil" w:color="auto" w:fill="auto"/>
      <w:vertAlign w:val="baseline"/>
      <w14:textFill>
        <w14:solidFill>
          <w14:srgbClr w14:val="8496B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