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7AC2A" w14:textId="77777777" w:rsidR="0087324F" w:rsidRDefault="0087324F" w:rsidP="0087324F">
      <w:pPr>
        <w:rPr>
          <w:b/>
          <w:bCs/>
        </w:rPr>
      </w:pPr>
      <w:r>
        <w:rPr>
          <w:b/>
          <w:bCs/>
        </w:rPr>
        <w:t xml:space="preserve">Sprawozdanie projektu: </w:t>
      </w:r>
      <w:r w:rsidRPr="0087324F">
        <w:t>Projektowanie innowacyjne bez barier</w:t>
      </w:r>
    </w:p>
    <w:p w14:paraId="69A7DE28" w14:textId="3E210C43" w:rsidR="0087324F" w:rsidRDefault="0087324F" w:rsidP="0087324F">
      <w:r>
        <w:rPr>
          <w:b/>
          <w:bCs/>
        </w:rPr>
        <w:t xml:space="preserve">Imię i nazwisko: </w:t>
      </w:r>
      <w:r w:rsidRPr="0087324F">
        <w:t>Filip Nocoń, Krystian Piech</w:t>
      </w:r>
    </w:p>
    <w:p w14:paraId="76AC9D2D" w14:textId="770A05D1" w:rsidR="0087324F" w:rsidRDefault="0087324F" w:rsidP="0087324F">
      <w:pPr>
        <w:rPr>
          <w:b/>
          <w:bCs/>
        </w:rPr>
      </w:pPr>
      <w:r w:rsidRPr="0087324F">
        <w:rPr>
          <w:b/>
          <w:bCs/>
        </w:rPr>
        <w:t>Grupa:</w:t>
      </w:r>
      <w:r>
        <w:t xml:space="preserve"> AMPI</w:t>
      </w:r>
    </w:p>
    <w:p w14:paraId="24C707AB" w14:textId="77777777" w:rsidR="0087324F" w:rsidRDefault="0087324F" w:rsidP="0087324F">
      <w:pPr>
        <w:rPr>
          <w:b/>
          <w:bCs/>
        </w:rPr>
      </w:pPr>
    </w:p>
    <w:p w14:paraId="145A52FB" w14:textId="739972F1" w:rsidR="0087324F" w:rsidRPr="0087324F" w:rsidRDefault="0087324F" w:rsidP="0087324F">
      <w:pPr>
        <w:rPr>
          <w:b/>
          <w:bCs/>
        </w:rPr>
      </w:pPr>
      <w:r>
        <w:rPr>
          <w:b/>
          <w:bCs/>
        </w:rPr>
        <w:t xml:space="preserve">1. </w:t>
      </w:r>
      <w:r w:rsidRPr="0087324F">
        <w:rPr>
          <w:b/>
          <w:bCs/>
        </w:rPr>
        <w:t>WYBRANIE INWESTORA I SPECYFIKA FIRMY</w:t>
      </w:r>
    </w:p>
    <w:p w14:paraId="682E2778" w14:textId="77777777" w:rsidR="0087324F" w:rsidRPr="0087324F" w:rsidRDefault="0087324F" w:rsidP="0087324F">
      <w:r w:rsidRPr="0087324F">
        <w:rPr>
          <w:b/>
          <w:bCs/>
        </w:rPr>
        <w:t>Inwestor:</w:t>
      </w:r>
      <w:r w:rsidRPr="0087324F">
        <w:t xml:space="preserve"> Biblioteka Miejska (Instytucja Publiczna).</w:t>
      </w:r>
    </w:p>
    <w:p w14:paraId="4DAD20F3" w14:textId="77777777" w:rsidR="0087324F" w:rsidRPr="0087324F" w:rsidRDefault="0087324F" w:rsidP="0087324F">
      <w:r w:rsidRPr="0087324F">
        <w:t>Charakterystyka działalności:</w:t>
      </w:r>
    </w:p>
    <w:p w14:paraId="05D5FBDF" w14:textId="77777777" w:rsidR="0087324F" w:rsidRPr="0087324F" w:rsidRDefault="0087324F" w:rsidP="0087324F">
      <w:r w:rsidRPr="0087324F">
        <w:t>Biblioteka Miejska jest instytucją kultury o charakterze publicznym, finansowaną ze środków samorządowych. Jej głównym celem jest gromadzenie, opracowywanie i udostępnianie zbiorów bibliotecznych, a także upowszechnianie czytelnictwa i kultury.</w:t>
      </w:r>
    </w:p>
    <w:p w14:paraId="7D2C5B92" w14:textId="77777777" w:rsidR="0087324F" w:rsidRPr="0087324F" w:rsidRDefault="0087324F" w:rsidP="0087324F">
      <w:r w:rsidRPr="0087324F">
        <w:t>Specyfika projektu:</w:t>
      </w:r>
    </w:p>
    <w:p w14:paraId="29C1EDC5" w14:textId="77777777" w:rsidR="0087324F" w:rsidRPr="0087324F" w:rsidRDefault="0087324F" w:rsidP="0087324F">
      <w:r w:rsidRPr="0087324F">
        <w:t>Jako podmiot publiczny, Biblioteka Miejska jest prawnie zobowiązana do spełniania wymogów Ustawy z dnia 4 kwietnia 2019 r. o dostępności cyfrowej stron internetowych i aplikacji mobilnych podmiotów publicznych1. Projekt strony internetowej nie ma charakteru komercyjnego (sprzedażowego), lecz informacyjno-usługowy. Kluczowym aspektem jest zapewnienie równego dostępu do informacji dla wszystkich mieszkańców, niezależnie od ich stopnia sprawności, wieku czy wykluczenia cyfrowego.</w:t>
      </w:r>
    </w:p>
    <w:p w14:paraId="0FCB709E" w14:textId="7E280ADE" w:rsidR="0087324F" w:rsidRPr="0087324F" w:rsidRDefault="0087324F" w:rsidP="0087324F"/>
    <w:p w14:paraId="0AAC0CE8" w14:textId="7E245CFE" w:rsidR="0087324F" w:rsidRPr="0087324F" w:rsidRDefault="0087324F" w:rsidP="0087324F">
      <w:pPr>
        <w:rPr>
          <w:b/>
          <w:bCs/>
        </w:rPr>
      </w:pPr>
      <w:r w:rsidRPr="0087324F">
        <w:rPr>
          <w:b/>
          <w:bCs/>
        </w:rPr>
        <w:t>2. SPORZĄDZENIE MAPY MYŚLI (Strategia Projektowa)</w:t>
      </w:r>
    </w:p>
    <w:p w14:paraId="0577D9E8" w14:textId="54192274" w:rsidR="0087324F" w:rsidRPr="0087324F" w:rsidRDefault="004B658B" w:rsidP="0087324F">
      <w:r>
        <w:rPr>
          <w:noProof/>
        </w:rPr>
        <w:drawing>
          <wp:inline distT="0" distB="0" distL="0" distR="0" wp14:anchorId="7CEC444C" wp14:editId="58AD5342">
            <wp:extent cx="5334000" cy="4161225"/>
            <wp:effectExtent l="0" t="0" r="0" b="0"/>
            <wp:docPr id="117186634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726" cy="4176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3ECFD" w14:textId="22F7D022" w:rsidR="0087324F" w:rsidRPr="0087324F" w:rsidRDefault="0087324F" w:rsidP="0087324F">
      <w:pPr>
        <w:rPr>
          <w:b/>
          <w:bCs/>
        </w:rPr>
      </w:pPr>
      <w:r w:rsidRPr="0087324F">
        <w:rPr>
          <w:b/>
          <w:bCs/>
        </w:rPr>
        <w:lastRenderedPageBreak/>
        <w:t>3. Metodyka pracy:</w:t>
      </w:r>
    </w:p>
    <w:p w14:paraId="76A7527D" w14:textId="77777777" w:rsidR="0087324F" w:rsidRPr="0087324F" w:rsidRDefault="0087324F" w:rsidP="0087324F">
      <w:r w:rsidRPr="0087324F">
        <w:t>W procesie tworzenia strony zastosowano podejście Mobile First oraz zasady Projektowania Uniwersalnego. Kod został napisany ręcznie (Hand-</w:t>
      </w:r>
      <w:proofErr w:type="spellStart"/>
      <w:r w:rsidRPr="0087324F">
        <w:t>coding</w:t>
      </w:r>
      <w:proofErr w:type="spellEnd"/>
      <w:r w:rsidRPr="0087324F">
        <w:t xml:space="preserve">) w środowisku Visual Studio </w:t>
      </w:r>
      <w:proofErr w:type="spellStart"/>
      <w:r w:rsidRPr="0087324F">
        <w:t>Code</w:t>
      </w:r>
      <w:proofErr w:type="spellEnd"/>
      <w:r w:rsidRPr="0087324F">
        <w:t>, co pozwoliło na pełną kontrolę nad semantyką HTML, kluczową dla czytników ekranu.</w:t>
      </w:r>
    </w:p>
    <w:p w14:paraId="0C14888A" w14:textId="0667764F" w:rsidR="0087324F" w:rsidRPr="0087324F" w:rsidRDefault="0087324F" w:rsidP="0087324F">
      <w:r>
        <w:rPr>
          <w:b/>
          <w:bCs/>
        </w:rPr>
        <w:t>- W</w:t>
      </w:r>
      <w:r w:rsidRPr="0087324F">
        <w:rPr>
          <w:b/>
          <w:bCs/>
        </w:rPr>
        <w:t>ykorzystane technologie:</w:t>
      </w:r>
    </w:p>
    <w:p w14:paraId="0AC6C4D1" w14:textId="77777777" w:rsidR="0087324F" w:rsidRPr="0087324F" w:rsidRDefault="0087324F" w:rsidP="0087324F">
      <w:pPr>
        <w:numPr>
          <w:ilvl w:val="0"/>
          <w:numId w:val="1"/>
        </w:numPr>
      </w:pPr>
      <w:r w:rsidRPr="0087324F">
        <w:rPr>
          <w:b/>
          <w:bCs/>
        </w:rPr>
        <w:t>HTML5:</w:t>
      </w:r>
      <w:r w:rsidRPr="0087324F">
        <w:t xml:space="preserve"> Zastosowano znaczniki semantyczne (&lt;</w:t>
      </w:r>
      <w:proofErr w:type="spellStart"/>
      <w:r w:rsidRPr="0087324F">
        <w:t>header</w:t>
      </w:r>
      <w:proofErr w:type="spellEnd"/>
      <w:r w:rsidRPr="0087324F">
        <w:t>&gt;, &lt;</w:t>
      </w:r>
      <w:proofErr w:type="spellStart"/>
      <w:r w:rsidRPr="0087324F">
        <w:t>nav</w:t>
      </w:r>
      <w:proofErr w:type="spellEnd"/>
      <w:r w:rsidRPr="0087324F">
        <w:t>&gt;, &lt;</w:t>
      </w:r>
      <w:proofErr w:type="spellStart"/>
      <w:r w:rsidRPr="0087324F">
        <w:t>main</w:t>
      </w:r>
      <w:proofErr w:type="spellEnd"/>
      <w:r w:rsidRPr="0087324F">
        <w:t>&gt;, &lt;</w:t>
      </w:r>
      <w:proofErr w:type="spellStart"/>
      <w:r w:rsidRPr="0087324F">
        <w:t>section</w:t>
      </w:r>
      <w:proofErr w:type="spellEnd"/>
      <w:r w:rsidRPr="0087324F">
        <w:t>&gt;, &lt;</w:t>
      </w:r>
      <w:proofErr w:type="spellStart"/>
      <w:r w:rsidRPr="0087324F">
        <w:t>footer</w:t>
      </w:r>
      <w:proofErr w:type="spellEnd"/>
      <w:r w:rsidRPr="0087324F">
        <w:t>&gt;), które pozwalają technologiom asystującym na zrozumienie struktury strony.</w:t>
      </w:r>
    </w:p>
    <w:p w14:paraId="06793FA0" w14:textId="77777777" w:rsidR="0087324F" w:rsidRPr="0087324F" w:rsidRDefault="0087324F" w:rsidP="0087324F">
      <w:pPr>
        <w:numPr>
          <w:ilvl w:val="0"/>
          <w:numId w:val="1"/>
        </w:numPr>
      </w:pPr>
      <w:r w:rsidRPr="0087324F">
        <w:rPr>
          <w:b/>
          <w:bCs/>
        </w:rPr>
        <w:t>CSS3:</w:t>
      </w:r>
      <w:r w:rsidRPr="0087324F">
        <w:t xml:space="preserve"> Użyto zmiennych CSS (:</w:t>
      </w:r>
      <w:proofErr w:type="spellStart"/>
      <w:r w:rsidRPr="0087324F">
        <w:t>root</w:t>
      </w:r>
      <w:proofErr w:type="spellEnd"/>
      <w:r w:rsidRPr="0087324F">
        <w:t>) do łatwego zarządzania kolorystyką oraz jednostek względnych (rem, %), co zapewnia skalowalność elementów.</w:t>
      </w:r>
    </w:p>
    <w:p w14:paraId="748A8B5A" w14:textId="77777777" w:rsidR="0087324F" w:rsidRPr="0087324F" w:rsidRDefault="0087324F" w:rsidP="0087324F">
      <w:pPr>
        <w:numPr>
          <w:ilvl w:val="0"/>
          <w:numId w:val="1"/>
        </w:numPr>
      </w:pPr>
      <w:r w:rsidRPr="0087324F">
        <w:rPr>
          <w:b/>
          <w:bCs/>
        </w:rPr>
        <w:t>JavaScript (</w:t>
      </w:r>
      <w:proofErr w:type="spellStart"/>
      <w:r w:rsidRPr="0087324F">
        <w:rPr>
          <w:b/>
          <w:bCs/>
        </w:rPr>
        <w:t>Vanilla</w:t>
      </w:r>
      <w:proofErr w:type="spellEnd"/>
      <w:r w:rsidRPr="0087324F">
        <w:rPr>
          <w:b/>
          <w:bCs/>
        </w:rPr>
        <w:t xml:space="preserve"> JS):</w:t>
      </w:r>
      <w:r w:rsidRPr="0087324F">
        <w:t xml:space="preserve"> Odpowiada za logikę przełączania kontrastu, obsługę syntezy mowy (</w:t>
      </w:r>
      <w:proofErr w:type="spellStart"/>
      <w:r w:rsidRPr="0087324F">
        <w:t>Text</w:t>
      </w:r>
      <w:proofErr w:type="spellEnd"/>
      <w:r w:rsidRPr="0087324F">
        <w:t xml:space="preserve">-to-Speech) oraz obsługę </w:t>
      </w:r>
      <w:proofErr w:type="spellStart"/>
      <w:r w:rsidRPr="0087324F">
        <w:t>modali</w:t>
      </w:r>
      <w:proofErr w:type="spellEnd"/>
      <w:r w:rsidRPr="0087324F">
        <w:t xml:space="preserve"> (okien dialogowych), przy zachowaniu dostępności klawiaturowej.</w:t>
      </w:r>
    </w:p>
    <w:p w14:paraId="0210FEAD" w14:textId="37059057" w:rsidR="0087324F" w:rsidRPr="0087324F" w:rsidRDefault="0087324F" w:rsidP="0087324F">
      <w:pPr>
        <w:rPr>
          <w:b/>
          <w:bCs/>
        </w:rPr>
      </w:pPr>
      <w:r>
        <w:t xml:space="preserve">- </w:t>
      </w:r>
      <w:r w:rsidRPr="0087324F">
        <w:rPr>
          <w:b/>
          <w:bCs/>
        </w:rPr>
        <w:t>Implementacja standardów WCAG 2.1:</w:t>
      </w:r>
    </w:p>
    <w:p w14:paraId="6106D371" w14:textId="77777777" w:rsidR="0087324F" w:rsidRPr="0087324F" w:rsidRDefault="0087324F" w:rsidP="0087324F">
      <w:r w:rsidRPr="0087324F">
        <w:t>W projekcie zrealizowano następujące wytyczne:</w:t>
      </w:r>
    </w:p>
    <w:p w14:paraId="5DEA706A" w14:textId="30648EEE" w:rsidR="0087324F" w:rsidRPr="0087324F" w:rsidRDefault="0087324F" w:rsidP="0087324F">
      <w:pPr>
        <w:numPr>
          <w:ilvl w:val="0"/>
          <w:numId w:val="2"/>
        </w:numPr>
      </w:pPr>
      <w:r w:rsidRPr="0087324F">
        <w:rPr>
          <w:b/>
          <w:bCs/>
        </w:rPr>
        <w:t>Zasada Postrzegalności:</w:t>
      </w:r>
      <w:r w:rsidRPr="0087324F">
        <w:t xml:space="preserve"> Zapewniono alternatywę tekstową dla grafik (atrybuty alt, aria-</w:t>
      </w:r>
      <w:proofErr w:type="spellStart"/>
      <w:r w:rsidRPr="0087324F">
        <w:t>label</w:t>
      </w:r>
      <w:proofErr w:type="spellEnd"/>
      <w:r w:rsidRPr="0087324F">
        <w:t>) oraz wysoki kontrast (powyżej 7:1 w trybie wysokiego kontrastu).</w:t>
      </w:r>
    </w:p>
    <w:p w14:paraId="05E7859A" w14:textId="77777777" w:rsidR="0087324F" w:rsidRPr="0087324F" w:rsidRDefault="0087324F" w:rsidP="0087324F">
      <w:pPr>
        <w:numPr>
          <w:ilvl w:val="0"/>
          <w:numId w:val="2"/>
        </w:numPr>
      </w:pPr>
      <w:r w:rsidRPr="0087324F">
        <w:rPr>
          <w:b/>
          <w:bCs/>
        </w:rPr>
        <w:t>Zasada Funkcjonalności:</w:t>
      </w:r>
      <w:r w:rsidRPr="0087324F">
        <w:t xml:space="preserve"> Cała witryna jest obsługiwana wyłącznie za pomocą klawiatury (widoczny </w:t>
      </w:r>
      <w:proofErr w:type="spellStart"/>
      <w:r w:rsidRPr="0087324F">
        <w:t>focus</w:t>
      </w:r>
      <w:proofErr w:type="spellEnd"/>
      <w:r w:rsidRPr="0087324F">
        <w:t>, logiczna kolejność tabulacji, Skip Link).</w:t>
      </w:r>
    </w:p>
    <w:p w14:paraId="1DFD186C" w14:textId="1CCC100A" w:rsidR="0087324F" w:rsidRPr="0087324F" w:rsidRDefault="0087324F" w:rsidP="0087324F">
      <w:pPr>
        <w:numPr>
          <w:ilvl w:val="0"/>
          <w:numId w:val="2"/>
        </w:numPr>
      </w:pPr>
      <w:r w:rsidRPr="0087324F">
        <w:rPr>
          <w:b/>
          <w:bCs/>
        </w:rPr>
        <w:t>Zasada Zrozumiałości:</w:t>
      </w:r>
      <w:r w:rsidRPr="0087324F">
        <w:t xml:space="preserve"> Język strony zdefiniowano w nagłówku (</w:t>
      </w:r>
      <w:proofErr w:type="spellStart"/>
      <w:r w:rsidRPr="0087324F">
        <w:t>lang</w:t>
      </w:r>
      <w:proofErr w:type="spellEnd"/>
      <w:r w:rsidRPr="0087324F">
        <w:t>="</w:t>
      </w:r>
      <w:proofErr w:type="spellStart"/>
      <w:r w:rsidRPr="0087324F">
        <w:t>pl</w:t>
      </w:r>
      <w:proofErr w:type="spellEnd"/>
      <w:r w:rsidRPr="0087324F">
        <w:t>"), a komunikaty błędów (np. w wyszukiwarce) są jasne i precyzyjne.</w:t>
      </w:r>
    </w:p>
    <w:p w14:paraId="119EB8E9" w14:textId="5B8FFF5C" w:rsidR="0087324F" w:rsidRPr="0087324F" w:rsidRDefault="0087324F" w:rsidP="0087324F">
      <w:pPr>
        <w:numPr>
          <w:ilvl w:val="0"/>
          <w:numId w:val="2"/>
        </w:numPr>
      </w:pPr>
      <w:r w:rsidRPr="0087324F">
        <w:rPr>
          <w:b/>
          <w:bCs/>
        </w:rPr>
        <w:t>Zasada Solidności:</w:t>
      </w:r>
      <w:r w:rsidRPr="0087324F">
        <w:t xml:space="preserve"> Kod jest poprawny składniowo i kompatybilny z różnymi przeglądarkami.</w:t>
      </w:r>
    </w:p>
    <w:p w14:paraId="112875AD" w14:textId="17B115B7" w:rsidR="0087324F" w:rsidRPr="0087324F" w:rsidRDefault="0087324F" w:rsidP="0087324F">
      <w:pPr>
        <w:rPr>
          <w:b/>
          <w:bCs/>
        </w:rPr>
      </w:pPr>
      <w:r w:rsidRPr="0087324F">
        <w:rPr>
          <w:b/>
          <w:bCs/>
        </w:rPr>
        <w:t>- Weryfikacja:</w:t>
      </w:r>
    </w:p>
    <w:p w14:paraId="583715B5" w14:textId="77777777" w:rsidR="0087324F" w:rsidRPr="0087324F" w:rsidRDefault="0087324F" w:rsidP="0087324F">
      <w:r w:rsidRPr="0087324F">
        <w:t>Projekt testowano przy użyciu:</w:t>
      </w:r>
    </w:p>
    <w:p w14:paraId="5448B2DE" w14:textId="77777777" w:rsidR="0087324F" w:rsidRPr="0087324F" w:rsidRDefault="0087324F" w:rsidP="0087324F">
      <w:pPr>
        <w:numPr>
          <w:ilvl w:val="0"/>
          <w:numId w:val="3"/>
        </w:numPr>
      </w:pPr>
      <w:proofErr w:type="spellStart"/>
      <w:r w:rsidRPr="0087324F">
        <w:t>Walidatorów</w:t>
      </w:r>
      <w:proofErr w:type="spellEnd"/>
      <w:r w:rsidRPr="0087324F">
        <w:t xml:space="preserve"> kontrastu (spełnienie normy WCAG AAA).</w:t>
      </w:r>
    </w:p>
    <w:p w14:paraId="0402E0FE" w14:textId="77777777" w:rsidR="0087324F" w:rsidRPr="0087324F" w:rsidRDefault="0087324F" w:rsidP="0087324F">
      <w:pPr>
        <w:numPr>
          <w:ilvl w:val="0"/>
          <w:numId w:val="3"/>
        </w:numPr>
      </w:pPr>
      <w:r w:rsidRPr="0087324F">
        <w:t>Nawigacji klawiaturowej (</w:t>
      </w:r>
      <w:proofErr w:type="spellStart"/>
      <w:r w:rsidRPr="0087324F">
        <w:t>Tab</w:t>
      </w:r>
      <w:proofErr w:type="spellEnd"/>
      <w:r w:rsidRPr="0087324F">
        <w:t xml:space="preserve">, </w:t>
      </w:r>
      <w:proofErr w:type="spellStart"/>
      <w:r w:rsidRPr="0087324F">
        <w:t>Enter</w:t>
      </w:r>
      <w:proofErr w:type="spellEnd"/>
      <w:r w:rsidRPr="0087324F">
        <w:t xml:space="preserve">, </w:t>
      </w:r>
      <w:proofErr w:type="spellStart"/>
      <w:r w:rsidRPr="0087324F">
        <w:t>Esc</w:t>
      </w:r>
      <w:proofErr w:type="spellEnd"/>
      <w:r w:rsidRPr="0087324F">
        <w:t>).</w:t>
      </w:r>
    </w:p>
    <w:p w14:paraId="7D7E2ACA" w14:textId="77777777" w:rsidR="0087324F" w:rsidRPr="0087324F" w:rsidRDefault="0087324F" w:rsidP="0087324F">
      <w:pPr>
        <w:numPr>
          <w:ilvl w:val="0"/>
          <w:numId w:val="3"/>
        </w:numPr>
      </w:pPr>
      <w:r w:rsidRPr="0087324F">
        <w:t>Symulacji czytnika ekranu.</w:t>
      </w:r>
    </w:p>
    <w:p w14:paraId="6C3C8243" w14:textId="37C35D3A" w:rsidR="0087324F" w:rsidRPr="0087324F" w:rsidRDefault="0087324F" w:rsidP="0087324F"/>
    <w:p w14:paraId="2B99F8EC" w14:textId="77777777" w:rsidR="009E371B" w:rsidRDefault="009E371B" w:rsidP="009E371B">
      <w:pPr>
        <w:rPr>
          <w:b/>
          <w:bCs/>
        </w:rPr>
      </w:pPr>
    </w:p>
    <w:p w14:paraId="10ECAD2F" w14:textId="77777777" w:rsidR="009E371B" w:rsidRDefault="009E371B" w:rsidP="009E371B">
      <w:pPr>
        <w:rPr>
          <w:b/>
          <w:bCs/>
        </w:rPr>
      </w:pPr>
    </w:p>
    <w:p w14:paraId="7ADD6D8F" w14:textId="77777777" w:rsidR="009E371B" w:rsidRDefault="009E371B" w:rsidP="009E371B">
      <w:pPr>
        <w:rPr>
          <w:b/>
          <w:bCs/>
        </w:rPr>
      </w:pPr>
    </w:p>
    <w:p w14:paraId="57FFAC1F" w14:textId="77777777" w:rsidR="009E371B" w:rsidRDefault="009E371B" w:rsidP="009E371B">
      <w:pPr>
        <w:rPr>
          <w:b/>
          <w:bCs/>
        </w:rPr>
      </w:pPr>
    </w:p>
    <w:p w14:paraId="36398F0B" w14:textId="77777777" w:rsidR="009E371B" w:rsidRDefault="009E371B" w:rsidP="009E371B">
      <w:pPr>
        <w:rPr>
          <w:b/>
          <w:bCs/>
        </w:rPr>
      </w:pPr>
    </w:p>
    <w:p w14:paraId="559CD51E" w14:textId="77777777" w:rsidR="009E371B" w:rsidRDefault="009E371B" w:rsidP="009E371B">
      <w:pPr>
        <w:rPr>
          <w:b/>
          <w:bCs/>
        </w:rPr>
      </w:pPr>
    </w:p>
    <w:p w14:paraId="6FB97B87" w14:textId="77777777" w:rsidR="009E371B" w:rsidRDefault="009E371B" w:rsidP="009E371B">
      <w:pPr>
        <w:rPr>
          <w:b/>
          <w:bCs/>
        </w:rPr>
      </w:pPr>
    </w:p>
    <w:p w14:paraId="37DC5206" w14:textId="7CA8B876" w:rsidR="009E371B" w:rsidRDefault="009E371B" w:rsidP="009E371B">
      <w:pPr>
        <w:rPr>
          <w:b/>
          <w:bCs/>
        </w:rPr>
      </w:pPr>
      <w:r w:rsidRPr="009E371B">
        <w:rPr>
          <w:b/>
          <w:bCs/>
        </w:rPr>
        <w:t>4. Projekt Logo i księga znaku</w:t>
      </w:r>
    </w:p>
    <w:p w14:paraId="44C0F64C" w14:textId="3F97A687" w:rsidR="009E371B" w:rsidRDefault="009E371B" w:rsidP="009E371B">
      <w:pPr>
        <w:rPr>
          <w:b/>
          <w:bCs/>
        </w:rPr>
      </w:pPr>
      <w:r w:rsidRPr="009E371B">
        <w:rPr>
          <w:b/>
          <w:bCs/>
        </w:rPr>
        <w:drawing>
          <wp:inline distT="0" distB="0" distL="0" distR="0" wp14:anchorId="6A73C599" wp14:editId="5338A826">
            <wp:extent cx="2991267" cy="724001"/>
            <wp:effectExtent l="0" t="0" r="0" b="0"/>
            <wp:docPr id="1481431151" name="Obraz 1" descr="Obraz zawierający tekst, Czcionka, logo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31151" name="Obraz 1" descr="Obraz zawierający tekst, Czcionka, logo, design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5851" w14:textId="3B0D41F7" w:rsidR="009E371B" w:rsidRPr="009E371B" w:rsidRDefault="009E371B" w:rsidP="009E371B">
      <w:r w:rsidRPr="009E371B">
        <w:t>Na potrzeby serwisu zaprojektowano system identyfikacji wizualnej, który łączy tradycyjną misję biblioteki z nowoczesną dostępnością cyfrową.</w:t>
      </w:r>
    </w:p>
    <w:p w14:paraId="3BC9BDAB" w14:textId="77777777" w:rsidR="009E371B" w:rsidRPr="009E371B" w:rsidRDefault="009E371B" w:rsidP="009E371B">
      <w:pPr>
        <w:rPr>
          <w:b/>
          <w:bCs/>
        </w:rPr>
      </w:pPr>
      <w:r w:rsidRPr="009E371B">
        <w:rPr>
          <w:b/>
          <w:bCs/>
        </w:rPr>
        <w:t>4.1. Budowa i Symbolika</w:t>
      </w:r>
    </w:p>
    <w:p w14:paraId="457E2356" w14:textId="7531084F" w:rsidR="009E371B" w:rsidRPr="009E371B" w:rsidRDefault="009E371B" w:rsidP="009E371B">
      <w:r w:rsidRPr="009E371B">
        <w:t>Logo składa się z dwóch integralnych części: sygnetu oraz logotypu.</w:t>
      </w:r>
    </w:p>
    <w:p w14:paraId="1097AF7B" w14:textId="7468D7F0" w:rsidR="009E371B" w:rsidRPr="009E371B" w:rsidRDefault="009E371B" w:rsidP="009E371B">
      <w:pPr>
        <w:numPr>
          <w:ilvl w:val="0"/>
          <w:numId w:val="6"/>
        </w:numPr>
      </w:pPr>
      <w:r w:rsidRPr="009E371B">
        <w:t>Sygnet (Znak graficzny): Przedstawia uproszczoną, geometryczną sylwetkę otwartej księgi. Lewa strona sygnetu składa się z trzech dynamicznych linii, które nawiązują do symbolu sygnału Wi-Fi, co podkreśla nowoczesny, internetowy charakter placówki.</w:t>
      </w:r>
    </w:p>
    <w:p w14:paraId="2633AB6C" w14:textId="77777777" w:rsidR="009E371B" w:rsidRPr="009E371B" w:rsidRDefault="009E371B" w:rsidP="009E371B">
      <w:pPr>
        <w:numPr>
          <w:ilvl w:val="0"/>
          <w:numId w:val="6"/>
        </w:numPr>
      </w:pPr>
      <w:r w:rsidRPr="009E371B">
        <w:t xml:space="preserve">Logotyp (Nazwa): Wykorzystuje dwuwierszowy układ. Główny napis „Biblioteka Miejska” jest wyeksponowany, a pod nim umieszczono hasło (slogan): „Dostępna dla każdego”, co bezpośrednio komunikuje </w:t>
      </w:r>
      <w:proofErr w:type="spellStart"/>
      <w:r w:rsidRPr="009E371B">
        <w:t>inkluzywny</w:t>
      </w:r>
      <w:proofErr w:type="spellEnd"/>
      <w:r w:rsidRPr="009E371B">
        <w:t xml:space="preserve"> charakter inwestycji.</w:t>
      </w:r>
    </w:p>
    <w:p w14:paraId="27440861" w14:textId="77777777" w:rsidR="009E371B" w:rsidRPr="009E371B" w:rsidRDefault="009E371B" w:rsidP="009E371B">
      <w:pPr>
        <w:rPr>
          <w:b/>
          <w:bCs/>
        </w:rPr>
      </w:pPr>
      <w:r w:rsidRPr="009E371B">
        <w:rPr>
          <w:b/>
          <w:bCs/>
        </w:rPr>
        <w:t>4.2. Typografia</w:t>
      </w:r>
    </w:p>
    <w:p w14:paraId="78024947" w14:textId="77777777" w:rsidR="009E371B" w:rsidRPr="009E371B" w:rsidRDefault="009E371B" w:rsidP="009E371B">
      <w:r w:rsidRPr="009E371B">
        <w:t xml:space="preserve">W logotypie zastosowano </w:t>
      </w:r>
      <w:proofErr w:type="spellStart"/>
      <w:r w:rsidRPr="009E371B">
        <w:t>bezszeryfowy</w:t>
      </w:r>
      <w:proofErr w:type="spellEnd"/>
      <w:r w:rsidRPr="009E371B">
        <w:t xml:space="preserve"> krój pisma z rodziny Segoe UI / </w:t>
      </w:r>
      <w:proofErr w:type="spellStart"/>
      <w:r w:rsidRPr="009E371B">
        <w:t>Helvetica</w:t>
      </w:r>
      <w:proofErr w:type="spellEnd"/>
      <w:r w:rsidRPr="009E371B">
        <w:t xml:space="preserve"> w odmianie Bold</w:t>
      </w:r>
      <w:r w:rsidRPr="009E371B">
        <w:rPr>
          <w:vertAlign w:val="superscript"/>
        </w:rPr>
        <w:t>5</w:t>
      </w:r>
      <w:r w:rsidRPr="009E371B">
        <w:t>.</w:t>
      </w:r>
    </w:p>
    <w:p w14:paraId="0AC2130B" w14:textId="2617A537" w:rsidR="009E371B" w:rsidRPr="009E371B" w:rsidRDefault="009E371B" w:rsidP="009E371B">
      <w:pPr>
        <w:numPr>
          <w:ilvl w:val="0"/>
          <w:numId w:val="7"/>
        </w:numPr>
      </w:pPr>
      <w:r w:rsidRPr="009E371B">
        <w:t xml:space="preserve">Czytelność: Wybór kroju </w:t>
      </w:r>
      <w:proofErr w:type="spellStart"/>
      <w:r w:rsidRPr="009E371B">
        <w:t>bezszeryfowego</w:t>
      </w:r>
      <w:proofErr w:type="spellEnd"/>
      <w:r w:rsidRPr="009E371B">
        <w:t xml:space="preserve"> podyktowany jest dbałością o osoby słabowidzące – litery pozbawione ozdobników są łatwiejsze do rozpoznania przez czytniki ekranu oraz osoby z dysfunkcjami wzroku.</w:t>
      </w:r>
    </w:p>
    <w:p w14:paraId="5261565A" w14:textId="77777777" w:rsidR="009E371B" w:rsidRPr="009E371B" w:rsidRDefault="009E371B" w:rsidP="009E371B">
      <w:pPr>
        <w:numPr>
          <w:ilvl w:val="0"/>
          <w:numId w:val="7"/>
        </w:numPr>
      </w:pPr>
      <w:r w:rsidRPr="009E371B">
        <w:t>Hierarchia: Nazwa instytucji jest pogrubiona, co buduje jasną hierarchię wizualną w nagłówku strony.</w:t>
      </w:r>
    </w:p>
    <w:p w14:paraId="7B3A8DDD" w14:textId="77777777" w:rsidR="009E371B" w:rsidRPr="009E371B" w:rsidRDefault="009E371B" w:rsidP="009E371B">
      <w:pPr>
        <w:rPr>
          <w:b/>
          <w:bCs/>
        </w:rPr>
      </w:pPr>
      <w:r w:rsidRPr="009E371B">
        <w:rPr>
          <w:b/>
          <w:bCs/>
        </w:rPr>
        <w:t>4.3. Kolorystyka (Specyfikacja)</w:t>
      </w:r>
    </w:p>
    <w:p w14:paraId="106148F4" w14:textId="1AF43811" w:rsidR="009E371B" w:rsidRPr="009E371B" w:rsidRDefault="009E371B" w:rsidP="009E371B">
      <w:r w:rsidRPr="009E371B">
        <w:t>Kolory zostały dobrane zgodnie z zasadami psychologii koloru (budowanie zaufania) oraz wymogami dostępności (wysoki kontrast).</w:t>
      </w:r>
    </w:p>
    <w:p w14:paraId="5B9389A9" w14:textId="77777777" w:rsidR="009E371B" w:rsidRPr="009E371B" w:rsidRDefault="009E371B" w:rsidP="009E371B">
      <w:pPr>
        <w:rPr>
          <w:b/>
          <w:bCs/>
        </w:rPr>
      </w:pPr>
      <w:r w:rsidRPr="009E371B">
        <w:rPr>
          <w:b/>
          <w:bCs/>
        </w:rPr>
        <w:t>4.4. Wersja Wysoki Kontrast</w:t>
      </w:r>
    </w:p>
    <w:p w14:paraId="4615056A" w14:textId="061A3FBE" w:rsidR="009E371B" w:rsidRPr="009E371B" w:rsidRDefault="009E371B" w:rsidP="009E371B">
      <w:pPr>
        <w:rPr>
          <w:b/>
          <w:bCs/>
        </w:rPr>
      </w:pPr>
      <w:r w:rsidRPr="009E371B">
        <w:t>Zgodnie ze standardami WCAG 2.1, w trybie dostępności (uruchamianym przyciskiem „Kontrast” w górnym panelu ułatwień) logo zmienia swoją formę na achromatyczną lub jaskrawożółtą (#FFD700) na czarnym tle. Zapewnia to maksymalną widoczność elementów graficznych dla osób z silnymi wadami wzroku</w:t>
      </w:r>
      <w:r>
        <w:rPr>
          <w:b/>
          <w:bCs/>
        </w:rPr>
        <w:t>.</w:t>
      </w:r>
    </w:p>
    <w:p w14:paraId="2F7D985D" w14:textId="77777777" w:rsidR="009E371B" w:rsidRPr="009E371B" w:rsidRDefault="009E371B" w:rsidP="009E371B">
      <w:pPr>
        <w:rPr>
          <w:b/>
          <w:bCs/>
        </w:rPr>
      </w:pPr>
      <w:r w:rsidRPr="009E371B">
        <w:rPr>
          <w:b/>
          <w:bCs/>
        </w:rPr>
        <w:t>4.5. Parametry techniczne</w:t>
      </w:r>
    </w:p>
    <w:p w14:paraId="004AEDFF" w14:textId="5DE8FDBB" w:rsidR="009E371B" w:rsidRPr="009E371B" w:rsidRDefault="009E371B" w:rsidP="009E371B">
      <w:pPr>
        <w:numPr>
          <w:ilvl w:val="0"/>
          <w:numId w:val="8"/>
        </w:numPr>
      </w:pPr>
      <w:r w:rsidRPr="009E371B">
        <w:t>Pole ochronne: Wokół znaku wyznaczono strefę wolną od innych elementów, równą wysokości litery „B” z logotypu, co zapobiega zaburzeniu percepcji znaku.</w:t>
      </w:r>
    </w:p>
    <w:p w14:paraId="55990AAE" w14:textId="3F7F118E" w:rsidR="009E371B" w:rsidRPr="009E371B" w:rsidRDefault="009E371B" w:rsidP="009E371B">
      <w:pPr>
        <w:numPr>
          <w:ilvl w:val="0"/>
          <w:numId w:val="8"/>
        </w:numPr>
      </w:pPr>
      <w:r w:rsidRPr="009E371B">
        <w:t>Minimalny rozmiar: W mediach cyfrowych logo nie powinno być mniejsze niż 60 pikseli szerokości, aby zachować czytelność sygnetu na urządzeniach mobilnych.</w:t>
      </w:r>
    </w:p>
    <w:p w14:paraId="33CB4378" w14:textId="77777777" w:rsidR="008A6D8C" w:rsidRDefault="008A6D8C"/>
    <w:sectPr w:rsidR="008A6D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1615F"/>
    <w:multiLevelType w:val="multilevel"/>
    <w:tmpl w:val="86BE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86E4F"/>
    <w:multiLevelType w:val="multilevel"/>
    <w:tmpl w:val="159C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816DE"/>
    <w:multiLevelType w:val="multilevel"/>
    <w:tmpl w:val="FCAE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C45BC"/>
    <w:multiLevelType w:val="multilevel"/>
    <w:tmpl w:val="E2BA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04555"/>
    <w:multiLevelType w:val="multilevel"/>
    <w:tmpl w:val="3918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E14C4"/>
    <w:multiLevelType w:val="multilevel"/>
    <w:tmpl w:val="9808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950C14"/>
    <w:multiLevelType w:val="multilevel"/>
    <w:tmpl w:val="0B68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647CF3"/>
    <w:multiLevelType w:val="multilevel"/>
    <w:tmpl w:val="B76E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619334">
    <w:abstractNumId w:val="1"/>
  </w:num>
  <w:num w:numId="2" w16cid:durableId="1266882671">
    <w:abstractNumId w:val="6"/>
  </w:num>
  <w:num w:numId="3" w16cid:durableId="1581676693">
    <w:abstractNumId w:val="0"/>
  </w:num>
  <w:num w:numId="4" w16cid:durableId="1873835468">
    <w:abstractNumId w:val="4"/>
  </w:num>
  <w:num w:numId="5" w16cid:durableId="2045515349">
    <w:abstractNumId w:val="5"/>
  </w:num>
  <w:num w:numId="6" w16cid:durableId="180630110">
    <w:abstractNumId w:val="2"/>
  </w:num>
  <w:num w:numId="7" w16cid:durableId="365909659">
    <w:abstractNumId w:val="7"/>
  </w:num>
  <w:num w:numId="8" w16cid:durableId="5971016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24F"/>
    <w:rsid w:val="0019364F"/>
    <w:rsid w:val="004B658B"/>
    <w:rsid w:val="007A72AC"/>
    <w:rsid w:val="007B15A7"/>
    <w:rsid w:val="008004D2"/>
    <w:rsid w:val="0087324F"/>
    <w:rsid w:val="008A6D8C"/>
    <w:rsid w:val="009E371B"/>
    <w:rsid w:val="00BD2FCD"/>
    <w:rsid w:val="00C8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B73C3"/>
  <w15:chartTrackingRefBased/>
  <w15:docId w15:val="{B20896D9-EDC1-45B9-846A-6295D313A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73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73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73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73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73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73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73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73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73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73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73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73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7324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7324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7324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7324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7324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7324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73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73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73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73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73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7324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7324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7324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73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7324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7324F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4B65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657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Nocoń</dc:creator>
  <cp:keywords/>
  <dc:description/>
  <cp:lastModifiedBy>Filip Nocoń</cp:lastModifiedBy>
  <cp:revision>2</cp:revision>
  <dcterms:created xsi:type="dcterms:W3CDTF">2025-12-09T19:40:00Z</dcterms:created>
  <dcterms:modified xsi:type="dcterms:W3CDTF">2026-01-13T20:42:00Z</dcterms:modified>
</cp:coreProperties>
</file>