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(v4,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(it has no move-line, so it produces no barcode line and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container-at-customer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barcode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w:t>
            </w:r>
          </w:p>
        </w:tc>
        <w:tc>
          <w:tcPr>
            <w:tcW w:type="dxa" w:w="2880"/>
          </w:tcPr>
          <w:p>
            <w:r>
              <w:t>Scanning a content serial resolves to its current package and picks that package's ACTUAL contents (= package scan).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stays open.</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T-01..T-12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multilingual.</w:t>
      </w:r>
    </w:p>
    <w:p>
      <w:pPr>
        <w:pStyle w:val="ListBullet"/>
      </w:pPr>
      <w:r>
        <w:t>All routes; set-header no-op; ad-hoc and pre-prepared containers.</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