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pPr>
        <w:pStyle w:val="Heading1"/>
        <w:spacing w:before="0"/>
        <w:jc w:val="center"/>
      </w:pPr>
      <w:r>
        <w:rPr>
          <w:b/>
          <w:color w:val="000000"/>
          <w:sz w:val="48"/>
        </w:rPr>
        <w:t>Architecture and Design</w:t>
      </w:r>
    </w:p>
    <w:p>
      <w:pPr>
        <w:jc w:val="center"/>
      </w:pPr>
      <w:r>
        <w:rPr>
          <w:b/>
          <w:sz w:val="40"/>
        </w:rPr>
        <w:t>Obelisk</w:t>
      </w:r>
    </w:p>
    <w:p/>
    <w:p>
      <w:pPr>
        <w:jc w:val="center"/>
      </w:pPr>
      <w:r>
        <w:rPr>
          <w:b/>
        </w:rPr>
        <w:t xml:space="preserve">Prepared by: </w:t>
      </w:r>
      <w:r>
        <w:t>Filliciano Plong</w:t>
      </w:r>
    </w:p>
    <w:p>
      <w:pPr>
        <w:jc w:val="center"/>
      </w:pPr>
      <w:r>
        <w:rPr>
          <w:b/>
        </w:rPr>
        <w:t xml:space="preserve">Date: </w:t>
      </w:r>
      <w:r>
        <w:t>October 23, 2026</w:t>
      </w:r>
    </w:p>
    <w:p>
      <w:pPr>
        <w:jc w:val="center"/>
      </w:pPr>
      <w:r>
        <w:rPr>
          <w:b/>
        </w:rPr>
        <w:t xml:space="preserve">Version: </w:t>
      </w:r>
      <w:r>
        <w:t>1.0</w:t>
      </w:r>
    </w:p>
    <w:p/>
    <w:p>
      <w:pPr>
        <w:jc w:val="center"/>
      </w:pPr>
      <w:r>
        <w:rPr>
          <w:b/>
        </w:rPr>
        <w:t xml:space="preserve">Readers: </w:t>
      </w:r>
      <w:r>
        <w:t>Filliciano Plong, sole developer. Helps decide module boundaries, the save path, and the export pipeline before code starts.</w:t>
      </w:r>
    </w:p>
    <w:p>
      <w:pPr>
        <w:pStyle w:val="Heading1"/>
        <w:pageBreakBefore/>
      </w:pPr>
      <w:r>
        <w:t>Contents</w:t>
      </w:r>
    </w:p>
    <w:p>
      <w:pPr>
        <w:tabs>
          <w:tab w:pos="9360" w:val="right" w:leader="dot"/>
        </w:tabs>
        <w:spacing w:after="40"/>
      </w:pPr>
      <w:r>
        <w:t>Revision history</w:t>
      </w:r>
      <w:r>
        <w:tab/>
        <w:t>2</w:t>
      </w:r>
    </w:p>
    <w:p>
      <w:pPr>
        <w:tabs>
          <w:tab w:pos="9360" w:val="right" w:leader="dot"/>
        </w:tabs>
        <w:spacing w:after="40"/>
      </w:pPr>
      <w:r>
        <w:t>1. Context and scope</w:t>
      </w:r>
      <w:r>
        <w:tab/>
        <w:t>3</w:t>
      </w:r>
    </w:p>
    <w:p>
      <w:pPr>
        <w:tabs>
          <w:tab w:pos="9360" w:val="right" w:leader="dot"/>
        </w:tabs>
        <w:spacing w:after="40"/>
      </w:pPr>
      <w:r>
        <w:t>2. Goals and constraints</w:t>
      </w:r>
      <w:r>
        <w:tab/>
        <w:t>3</w:t>
      </w:r>
    </w:p>
    <w:p>
      <w:pPr>
        <w:tabs>
          <w:tab w:pos="9360" w:val="right" w:leader="dot"/>
        </w:tabs>
        <w:spacing w:after="40"/>
      </w:pPr>
      <w:r>
        <w:t>3. Quality-attribute scenarios</w:t>
      </w:r>
      <w:r>
        <w:tab/>
        <w:t>4</w:t>
      </w:r>
    </w:p>
    <w:p>
      <w:pPr>
        <w:tabs>
          <w:tab w:pos="9360" w:val="right" w:leader="dot"/>
        </w:tabs>
        <w:spacing w:after="40"/>
      </w:pPr>
      <w:r>
        <w:t>4. Architectural style</w:t>
      </w:r>
      <w:r>
        <w:tab/>
        <w:t>4</w:t>
      </w:r>
    </w:p>
    <w:p>
      <w:pPr>
        <w:tabs>
          <w:tab w:pos="9360" w:val="right" w:leader="dot"/>
        </w:tabs>
        <w:spacing w:after="40"/>
      </w:pPr>
      <w:r>
        <w:t>5. Architecture views</w:t>
      </w:r>
      <w:r>
        <w:tab/>
        <w:t>6</w:t>
      </w:r>
    </w:p>
    <w:p>
      <w:pPr>
        <w:tabs>
          <w:tab w:pos="9360" w:val="right" w:leader="dot"/>
        </w:tabs>
        <w:spacing w:after="40"/>
      </w:pPr>
      <w:r>
        <w:t>6. Behavior and contract</w:t>
      </w:r>
      <w:r>
        <w:tab/>
        <w:t>14</w:t>
      </w:r>
    </w:p>
    <w:p>
      <w:pPr>
        <w:tabs>
          <w:tab w:pos="9360" w:val="right" w:leader="dot"/>
        </w:tabs>
        <w:spacing w:after="40"/>
      </w:pPr>
      <w:r>
        <w:t>7. Architecture decisions</w:t>
      </w:r>
      <w:r>
        <w:tab/>
        <w:t>16</w:t>
      </w:r>
    </w:p>
    <w:p>
      <w:pPr>
        <w:tabs>
          <w:tab w:pos="9360" w:val="right" w:leader="dot"/>
        </w:tabs>
        <w:spacing w:after="40"/>
      </w:pPr>
      <w:r>
        <w:t>8. Risks</w:t>
      </w:r>
      <w:r>
        <w:tab/>
        <w:t>19</w:t>
      </w:r>
    </w:p>
    <w:p>
      <w:pPr>
        <w:tabs>
          <w:tab w:pos="9360" w:val="right" w:leader="dot"/>
        </w:tabs>
        <w:spacing w:after="40"/>
      </w:pPr>
      <w:r>
        <w:t>9. Technology stack</w:t>
      </w:r>
      <w:r>
        <w:tab/>
        <w:t>19</w:t>
      </w:r>
    </w:p>
    <w:p>
      <w:pPr>
        <w:tabs>
          <w:tab w:pos="9360" w:val="right" w:leader="dot"/>
        </w:tabs>
        <w:spacing w:after="40"/>
      </w:pPr>
      <w:r>
        <w:t>10. Traceability</w:t>
      </w:r>
      <w:r>
        <w:tab/>
        <w:t>21</w:t>
      </w:r>
    </w:p>
    <w:p>
      <w:pPr>
        <w:tabs>
          <w:tab w:pos="9360" w:val="right" w:leader="dot"/>
        </w:tabs>
        <w:spacing w:after="40"/>
      </w:pPr>
      <w:r>
        <w:t>11. Open decisions</w:t>
      </w:r>
      <w:r>
        <w:tab/>
        <w:t>24</w:t>
      </w:r>
    </w:p>
    <w:p>
      <w:pPr>
        <w:tabs>
          <w:tab w:pos="9360" w:val="right" w:leader="dot"/>
        </w:tabs>
        <w:spacing w:after="40"/>
      </w:pPr>
      <w:r>
        <w:t>12. Maintenance and references</w:t>
      </w:r>
      <w:r>
        <w:tab/>
        <w:t>24</w:t>
      </w:r>
    </w:p>
    <w:p>
      <w:pPr>
        <w:pStyle w:val="Heading1"/>
      </w:pPr>
      <w:r>
        <w:t>Revision history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2304"/>
        <w:gridCol w:w="5616"/>
      </w:tblGrid>
      <w:tr>
        <w:trPr>
          <w:tblHeader w:val="true"/>
        </w:trPr>
        <w:tc>
          <w:tcPr>
            <w:tcW w:type="dxa" w:w="1440"/>
            <w:shd w:val="clear" w:color="auto" w:fill="D9E2F3"/>
          </w:tcPr>
          <w:p>
            <w:r/>
            <w:r>
              <w:rPr>
                <w:b/>
                <w:sz w:val="19"/>
              </w:rPr>
              <w:t>Version</w:t>
            </w:r>
          </w:p>
        </w:tc>
        <w:tc>
          <w:tcPr>
            <w:tcW w:type="dxa" w:w="2304"/>
            <w:shd w:val="clear" w:color="auto" w:fill="D9E2F3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5616"/>
            <w:shd w:val="clear" w:color="auto" w:fill="D9E2F3"/>
          </w:tcPr>
          <w:p>
            <w:r/>
            <w:r>
              <w:rPr>
                <w:b/>
                <w:sz w:val="19"/>
              </w:rPr>
              <w:t>Changes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9"/>
              </w:rPr>
              <w:t>1.0</w:t>
            </w:r>
          </w:p>
        </w:tc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9"/>
              </w:rPr>
              <w:t>October 23, 2026</w:t>
            </w:r>
          </w:p>
        </w:tc>
        <w:tc>
          <w:tcPr>
            <w:tcW w:type="dxa" w:w="5616"/>
            <w:vAlign w:val="top"/>
          </w:tcPr>
          <w:p>
            <w:pPr>
              <w:spacing w:after="40"/>
            </w:pPr>
            <w:r>
              <w:rPr>
                <w:sz w:val="19"/>
              </w:rPr>
              <w:t>First release of the architecture.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1. Context and scope</w:t>
      </w:r>
    </w:p>
    <w:p>
      <w:r>
        <w:t>This document shows how Obelisk will meet its SRS. It cites requirement IDs from the SRS (Plong_Obelisk_SRS.docx, version 1.0) instead of repeating them.</w:t>
      </w:r>
    </w:p>
    <w:p>
      <w:r>
        <w:t>Everything here is a proposal until accepted. Technology versions are unverified until the spikes in section 9 confirm them.</w:t>
      </w:r>
    </w:p>
    <w:p>
      <w:pPr>
        <w:pStyle w:val="Heading2"/>
      </w:pPr>
      <w:r>
        <w:t>1.1 Actors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04"/>
        <w:gridCol w:w="7056"/>
      </w:tblGrid>
      <w:tr>
        <w:trPr>
          <w:tblHeader w:val="true"/>
        </w:trPr>
        <w:tc>
          <w:tcPr>
            <w:tcW w:type="dxa" w:w="2304"/>
            <w:shd w:val="clear" w:color="auto" w:fill="D9E2F3"/>
          </w:tcPr>
          <w:p>
            <w:r/>
            <w:r>
              <w:rPr>
                <w:b/>
                <w:sz w:val="19"/>
              </w:rPr>
              <w:t>Actor</w:t>
            </w:r>
          </w:p>
        </w:tc>
        <w:tc>
          <w:tcPr>
            <w:tcW w:type="dxa" w:w="7056"/>
            <w:shd w:val="clear" w:color="auto" w:fill="D9E2F3"/>
          </w:tcPr>
          <w:p>
            <w:r/>
            <w:r>
              <w:rPr>
                <w:b/>
                <w:sz w:val="19"/>
              </w:rPr>
              <w:t>Role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9"/>
              </w:rPr>
              <w:t>User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9"/>
              </w:rPr>
              <w:t>Writes, saves, prints, and exports documents; one person in the student or professional role.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9"/>
              </w:rPr>
              <w:t>Windows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9"/>
              </w:rPr>
              <w:t>File Explorer, Open and Save dialogs, print spooler, clipboard, spell checker, DPAPI.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9"/>
              </w:rPr>
              <w:t>Microsoft Store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9"/>
              </w:rPr>
              <w:t>Installs, signs, and updates the MSIX package.</w:t>
            </w:r>
          </w:p>
        </w:tc>
      </w:tr>
    </w:tbl>
    <w:p>
      <w:pPr>
        <w:spacing w:after="40"/>
      </w:pPr>
    </w:p>
    <w:p>
      <w:pPr>
        <w:pStyle w:val="Heading2"/>
      </w:pPr>
      <w:r>
        <w:t>1.2 External dependencies</w:t>
      </w:r>
    </w:p>
    <w:p>
      <w:pPr>
        <w:pStyle w:val="ListBullet"/>
        <w:spacing w:after="60"/>
      </w:pPr>
      <w:r>
        <w:t>Electron (Chromium and Node.js), React, TypeScript.</w:t>
      </w:r>
    </w:p>
    <w:p>
      <w:pPr>
        <w:pStyle w:val="ListBullet"/>
        <w:spacing w:after="60"/>
      </w:pPr>
      <w:r>
        <w:t>A ProseMirror-based editor core (proposal, ADR-004).</w:t>
      </w:r>
    </w:p>
    <w:p>
      <w:pPr>
        <w:pStyle w:val="ListBullet"/>
        <w:spacing w:after="60"/>
      </w:pPr>
      <w:r>
        <w:t>KaTeX for formulas; mathml2omml for Word equations (Should).</w:t>
      </w:r>
    </w:p>
    <w:p>
      <w:pPr>
        <w:pStyle w:val="ListBullet"/>
        <w:spacing w:after="60"/>
      </w:pPr>
      <w:r>
        <w:t>Mermaid for the diagram block (Should, OD-05).</w:t>
      </w:r>
    </w:p>
    <w:p>
      <w:pPr>
        <w:pStyle w:val="ListBullet"/>
        <w:spacing w:after="60"/>
      </w:pPr>
      <w:r>
        <w:t>Bundled fonts: the LibreOffice Latin set plus Dancing Script (OD-08).</w:t>
      </w:r>
    </w:p>
    <w:p>
      <w:pPr>
        <w:pStyle w:val="Heading2"/>
      </w:pPr>
      <w:r>
        <w:t>1.3 Included and excluded</w:t>
      </w:r>
    </w:p>
    <w:p>
      <w:r>
        <w:rPr>
          <w:b/>
        </w:rPr>
        <w:t xml:space="preserve">Included: </w:t>
      </w:r>
      <w:r>
        <w:t>SRS sections 6 and 7: every FR and NFR, Must and Should.</w:t>
      </w:r>
    </w:p>
    <w:p>
      <w:r>
        <w:rPr>
          <w:b/>
        </w:rPr>
        <w:t xml:space="preserve">Excluded: </w:t>
      </w:r>
      <w:r>
        <w:t>The SRS out-of-scope list (section 2.2) and future features (section 13).</w:t>
      </w:r>
    </w:p>
    <w:p>
      <w:pPr>
        <w:pStyle w:val="Heading1"/>
      </w:pPr>
      <w:r>
        <w:t>2. Goals and constraints</w:t>
      </w:r>
    </w:p>
    <w:p>
      <w:pPr>
        <w:pStyle w:val="Heading2"/>
      </w:pPr>
      <w:r>
        <w:t>2.1 Top quality goals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4032"/>
        <w:gridCol w:w="4464"/>
      </w:tblGrid>
      <w:tr>
        <w:trPr>
          <w:tblHeader w:val="true"/>
        </w:trPr>
        <w:tc>
          <w:tcPr>
            <w:tcW w:type="dxa" w:w="864"/>
            <w:shd w:val="clear" w:color="auto" w:fill="D9E2F3"/>
          </w:tcPr>
          <w:p>
            <w:r/>
            <w:r>
              <w:rPr>
                <w:b/>
                <w:sz w:val="19"/>
              </w:rPr>
              <w:t>Rank</w:t>
            </w:r>
          </w:p>
        </w:tc>
        <w:tc>
          <w:tcPr>
            <w:tcW w:type="dxa" w:w="4032"/>
            <w:shd w:val="clear" w:color="auto" w:fill="D9E2F3"/>
          </w:tcPr>
          <w:p>
            <w:r/>
            <w:r>
              <w:rPr>
                <w:b/>
                <w:sz w:val="19"/>
              </w:rPr>
              <w:t>Goal</w:t>
            </w:r>
          </w:p>
        </w:tc>
        <w:tc>
          <w:tcPr>
            <w:tcW w:type="dxa" w:w="4464"/>
            <w:shd w:val="clear" w:color="auto" w:fill="D9E2F3"/>
          </w:tcPr>
          <w:p>
            <w:r/>
            <w:r>
              <w:rPr>
                <w:b/>
                <w:sz w:val="19"/>
              </w:rPr>
              <w:t>Requirements</w:t>
            </w:r>
          </w:p>
        </w:tc>
      </w:tr>
      <w:tr>
        <w:tc>
          <w:tcPr>
            <w:tcW w:type="dxa" w:w="864"/>
            <w:vAlign w:val="top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9"/>
              </w:rPr>
              <w:t>No lost or half-written files</w:t>
            </w:r>
          </w:p>
        </w:tc>
        <w:tc>
          <w:tcPr>
            <w:tcW w:type="dxa" w:w="4464"/>
            <w:vAlign w:val="top"/>
          </w:tcPr>
          <w:p>
            <w:pPr>
              <w:spacing w:after="40"/>
            </w:pPr>
            <w:r>
              <w:rPr>
                <w:sz w:val="19"/>
              </w:rPr>
              <w:t>NFR-10, NFR-11, NFR-12, NFR-13, NFR-14</w:t>
            </w:r>
          </w:p>
        </w:tc>
      </w:tr>
      <w:tr>
        <w:tc>
          <w:tcPr>
            <w:tcW w:type="dxa" w:w="864"/>
            <w:vAlign w:val="top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9"/>
              </w:rPr>
              <w:t>Fast typing and opening in long documents</w:t>
            </w:r>
          </w:p>
        </w:tc>
        <w:tc>
          <w:tcPr>
            <w:tcW w:type="dxa" w:w="4464"/>
            <w:vAlign w:val="top"/>
          </w:tcPr>
          <w:p>
            <w:pPr>
              <w:spacing w:after="40"/>
            </w:pPr>
            <w:r>
              <w:rPr>
                <w:sz w:val="19"/>
              </w:rPr>
              <w:t>NFR-01, NFR-02, NFR-03, NFR-04</w:t>
            </w:r>
          </w:p>
        </w:tc>
      </w:tr>
      <w:tr>
        <w:tc>
          <w:tcPr>
            <w:tcW w:type="dxa" w:w="864"/>
            <w:vAlign w:val="top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9"/>
              </w:rPr>
              <w:t>Safe with untrusted files and pastes</w:t>
            </w:r>
          </w:p>
        </w:tc>
        <w:tc>
          <w:tcPr>
            <w:tcW w:type="dxa" w:w="4464"/>
            <w:vAlign w:val="top"/>
          </w:tcPr>
          <w:p>
            <w:pPr>
              <w:spacing w:after="40"/>
            </w:pPr>
            <w:r>
              <w:rPr>
                <w:sz w:val="19"/>
              </w:rPr>
              <w:t>NFR-06, NFR-07, FR-09, FR-36</w:t>
            </w:r>
          </w:p>
        </w:tc>
      </w:tr>
      <w:tr>
        <w:tc>
          <w:tcPr>
            <w:tcW w:type="dxa" w:w="864"/>
            <w:vAlign w:val="top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9"/>
              </w:rPr>
              <w:t>Faithful print and export</w:t>
            </w:r>
          </w:p>
        </w:tc>
        <w:tc>
          <w:tcPr>
            <w:tcW w:type="dxa" w:w="4464"/>
            <w:vAlign w:val="top"/>
          </w:tcPr>
          <w:p>
            <w:pPr>
              <w:spacing w:after="40"/>
            </w:pPr>
            <w:r>
              <w:rPr>
                <w:sz w:val="19"/>
              </w:rPr>
              <w:t>FR-62, FR-63, FR-64, FR-56</w:t>
            </w:r>
          </w:p>
        </w:tc>
      </w:tr>
    </w:tbl>
    <w:p>
      <w:pPr>
        <w:spacing w:after="40"/>
      </w:pPr>
    </w:p>
    <w:p>
      <w:pPr>
        <w:pStyle w:val="Heading2"/>
      </w:pPr>
      <w:r>
        <w:t>2.2 Constraints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048"/>
        <w:gridCol w:w="3312"/>
      </w:tblGrid>
      <w:tr>
        <w:trPr>
          <w:tblHeader w:val="true"/>
        </w:trPr>
        <w:tc>
          <w:tcPr>
            <w:tcW w:type="dxa" w:w="6048"/>
            <w:shd w:val="clear" w:color="auto" w:fill="D9E2F3"/>
          </w:tcPr>
          <w:p>
            <w:r/>
            <w:r>
              <w:rPr>
                <w:b/>
                <w:sz w:val="19"/>
              </w:rPr>
              <w:t>Constraint</w:t>
            </w:r>
          </w:p>
        </w:tc>
        <w:tc>
          <w:tcPr>
            <w:tcW w:type="dxa" w:w="3312"/>
            <w:shd w:val="clear" w:color="auto" w:fill="D9E2F3"/>
          </w:tcPr>
          <w:p>
            <w:r/>
            <w:r>
              <w:rPr>
                <w:b/>
                <w:sz w:val="19"/>
              </w:rPr>
              <w:t>Source</w:t>
            </w:r>
          </w:p>
        </w:tc>
      </w:tr>
      <w:tr>
        <w:tc>
          <w:tcPr>
            <w:tcW w:type="dxa" w:w="6048"/>
            <w:vAlign w:val="top"/>
          </w:tcPr>
          <w:p>
            <w:pPr>
              <w:spacing w:after="40"/>
            </w:pPr>
            <w:r>
              <w:rPr>
                <w:sz w:val="19"/>
              </w:rPr>
              <w:t>Electron, React, and TypeScript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9"/>
              </w:rPr>
              <w:t>Developer decision</w:t>
            </w:r>
          </w:p>
        </w:tc>
      </w:tr>
      <w:tr>
        <w:tc>
          <w:tcPr>
            <w:tcW w:type="dxa" w:w="6048"/>
            <w:vAlign w:val="top"/>
          </w:tcPr>
          <w:p>
            <w:pPr>
              <w:spacing w:after="40"/>
            </w:pPr>
            <w:r>
              <w:rPr>
                <w:sz w:val="19"/>
              </w:rPr>
              <w:t>Microsoft Store MSIX is the only release channel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9"/>
              </w:rPr>
              <w:t>Developer decision; ADR-008</w:t>
            </w:r>
          </w:p>
        </w:tc>
      </w:tr>
      <w:tr>
        <w:tc>
          <w:tcPr>
            <w:tcW w:type="dxa" w:w="6048"/>
            <w:vAlign w:val="top"/>
          </w:tcPr>
          <w:p>
            <w:pPr>
              <w:spacing w:after="40"/>
            </w:pPr>
            <w:r>
              <w:rPr>
                <w:sz w:val="19"/>
              </w:rPr>
              <w:t>Solo developer; Shoulds cut in the SRS drop order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9"/>
              </w:rPr>
              <w:t>Project plan</w:t>
            </w:r>
          </w:p>
        </w:tc>
      </w:tr>
      <w:tr>
        <w:tc>
          <w:tcPr>
            <w:tcW w:type="dxa" w:w="6048"/>
            <w:vAlign w:val="top"/>
          </w:tcPr>
          <w:p>
            <w:pPr>
              <w:spacing w:after="40"/>
            </w:pPr>
            <w:r>
              <w:rPr>
                <w:sz w:val="19"/>
              </w:rPr>
              <w:t>English interface; Letter paper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9"/>
              </w:rPr>
              <w:t>SRS section 5</w:t>
            </w:r>
          </w:p>
        </w:tc>
      </w:tr>
      <w:tr>
        <w:tc>
          <w:tcPr>
            <w:tcW w:type="dxa" w:w="6048"/>
            <w:vAlign w:val="top"/>
          </w:tcPr>
          <w:p>
            <w:pPr>
              <w:spacing w:after="40"/>
            </w:pPr>
            <w:r>
              <w:rPr>
                <w:sz w:val="19"/>
              </w:rPr>
              <w:t>mathml2omml is LGPL and ships as a separate module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9"/>
              </w:rPr>
              <w:t>NFR-29</w:t>
            </w:r>
          </w:p>
        </w:tc>
      </w:tr>
    </w:tbl>
    <w:p>
      <w:pPr>
        <w:spacing w:after="40"/>
      </w:pPr>
    </w:p>
    <w:p>
      <w:pPr>
        <w:pStyle w:val="Heading1"/>
      </w:pPr>
      <w:r>
        <w:t>3. Quality-attribute scenarios</w:t>
      </w:r>
    </w:p>
    <w:p>
      <w:r>
        <w:t>Each scenario names a stimulus and environment, the expected response, a measure, and how it is checked.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20"/>
        <w:gridCol w:w="2160"/>
        <w:gridCol w:w="2160"/>
        <w:gridCol w:w="1296"/>
        <w:gridCol w:w="1224"/>
        <w:gridCol w:w="1800"/>
      </w:tblGrid>
      <w:tr>
        <w:trPr>
          <w:tblHeader w:val="true"/>
        </w:trPr>
        <w:tc>
          <w:tcPr>
            <w:tcW w:type="dxa" w:w="720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Stimulus and environment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Response and measure</w:t>
            </w:r>
          </w:p>
        </w:tc>
        <w:tc>
          <w:tcPr>
            <w:tcW w:type="dxa" w:w="1296"/>
            <w:shd w:val="clear" w:color="auto" w:fill="D9E2F3"/>
          </w:tcPr>
          <w:p>
            <w:r/>
            <w:r>
              <w:rPr>
                <w:b/>
                <w:sz w:val="18"/>
              </w:rPr>
              <w:t>Verification</w:t>
            </w:r>
          </w:p>
        </w:tc>
        <w:tc>
          <w:tcPr>
            <w:tcW w:type="dxa" w:w="1224"/>
            <w:shd w:val="clear" w:color="auto" w:fill="D9E2F3"/>
          </w:tcPr>
          <w:p>
            <w:r/>
            <w:r>
              <w:rPr>
                <w:b/>
                <w:sz w:val="18"/>
              </w:rPr>
              <w:t>IDs</w:t>
            </w:r>
          </w:p>
        </w:tc>
        <w:tc>
          <w:tcPr>
            <w:tcW w:type="dxa" w:w="1800"/>
            <w:shd w:val="clear" w:color="auto" w:fill="D9E2F3"/>
          </w:tcPr>
          <w:p>
            <w:r/>
            <w:r>
              <w:rPr>
                <w:b/>
                <w:sz w:val="18"/>
              </w:rPr>
              <w:t>Component</w:t>
            </w:r>
          </w:p>
        </w:tc>
      </w:tr>
      <w:tr>
        <w:tc>
          <w:tcPr>
            <w:tcW w:type="dxa" w:w="720"/>
            <w:vAlign w:val="top"/>
          </w:tcPr>
          <w:p>
            <w:pPr>
              <w:spacing w:after="40"/>
            </w:pPr>
            <w:r>
              <w:rPr>
                <w:sz w:val="18"/>
              </w:rPr>
              <w:t>QS-01</w:t>
            </w:r>
          </w:p>
        </w:tc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8"/>
              </w:rPr>
              <w:t>User types in a 50-page document with tables and formulas, on the reference machine.</w:t>
            </w:r>
          </w:p>
        </w:tc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8"/>
              </w:rPr>
              <w:t>Character shows within 50 ms; formulas re-render only when their source changes.</w:t>
            </w:r>
          </w:p>
        </w:tc>
        <w:tc>
          <w:tcPr>
            <w:tcW w:type="dxa" w:w="1296"/>
            <w:vAlign w:val="top"/>
          </w:tcPr>
          <w:p>
            <w:pPr>
              <w:spacing w:after="40"/>
            </w:pPr>
            <w:r>
              <w:rPr>
                <w:sz w:val="18"/>
              </w:rPr>
              <w:t>Test: input-latency trace</w:t>
            </w:r>
          </w:p>
        </w:tc>
        <w:tc>
          <w:tcPr>
            <w:tcW w:type="dxa" w:w="1224"/>
            <w:vAlign w:val="top"/>
          </w:tcPr>
          <w:p>
            <w:pPr>
              <w:spacing w:after="40"/>
            </w:pPr>
            <w:r>
              <w:rPr>
                <w:sz w:val="18"/>
              </w:rPr>
              <w:t>NFR-01, NFR-02</w:t>
            </w:r>
          </w:p>
        </w:tc>
        <w:tc>
          <w:tcPr>
            <w:tcW w:type="dxa" w:w="1800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EditorCore, FormulaRenderer</w:t>
            </w:r>
          </w:p>
        </w:tc>
      </w:tr>
      <w:tr>
        <w:tc>
          <w:tcPr>
            <w:tcW w:type="dxa" w:w="720"/>
            <w:vAlign w:val="top"/>
          </w:tcPr>
          <w:p>
            <w:pPr>
              <w:spacing w:after="40"/>
            </w:pPr>
            <w:r>
              <w:rPr>
                <w:sz w:val="18"/>
              </w:rPr>
              <w:t>QS-02</w:t>
            </w:r>
          </w:p>
        </w:tc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8"/>
              </w:rPr>
              <w:t>The app is ended or power is lost during Save or autosave of a large file.</w:t>
            </w:r>
          </w:p>
        </w:tc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8"/>
              </w:rPr>
              <w:t>The target holds the old bytes or the complete new file; 20 of 20 runs.</w:t>
            </w:r>
          </w:p>
        </w:tc>
        <w:tc>
          <w:tcPr>
            <w:tcW w:type="dxa" w:w="1296"/>
            <w:vAlign w:val="top"/>
          </w:tcPr>
          <w:p>
            <w:pPr>
              <w:spacing w:after="40"/>
            </w:pPr>
            <w:r>
              <w:rPr>
                <w:sz w:val="18"/>
              </w:rPr>
              <w:t>Test: kill during save</w:t>
            </w:r>
          </w:p>
        </w:tc>
        <w:tc>
          <w:tcPr>
            <w:tcW w:type="dxa" w:w="1224"/>
            <w:vAlign w:val="top"/>
          </w:tcPr>
          <w:p>
            <w:pPr>
              <w:spacing w:after="40"/>
            </w:pPr>
            <w:r>
              <w:rPr>
                <w:sz w:val="18"/>
              </w:rPr>
              <w:t>NFR-10, NFR-12, NFR-14</w:t>
            </w:r>
          </w:p>
        </w:tc>
        <w:tc>
          <w:tcPr>
            <w:tcW w:type="dxa" w:w="1800"/>
            <w:vAlign w:val="top"/>
          </w:tcPr>
          <w:p>
            <w:pPr>
              <w:spacing w:after="40"/>
            </w:pPr>
            <w:r>
              <w:rPr>
                <w:sz w:val="18"/>
              </w:rPr>
              <w:t>FileService</w:t>
            </w:r>
          </w:p>
        </w:tc>
      </w:tr>
      <w:tr>
        <w:tc>
          <w:tcPr>
            <w:tcW w:type="dxa" w:w="720"/>
            <w:vAlign w:val="top"/>
          </w:tcPr>
          <w:p>
            <w:pPr>
              <w:spacing w:after="40"/>
            </w:pPr>
            <w:r>
              <w:rPr>
                <w:sz w:val="18"/>
              </w:rPr>
              <w:t>QS-03</w:t>
            </w:r>
          </w:p>
        </w:tc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8"/>
              </w:rPr>
              <w:t>User opens a crafted .obk file, or pastes HTML with scripts and remote images.</w:t>
            </w:r>
          </w:p>
        </w:tc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8"/>
              </w:rPr>
              <w:t>Nothing runs and no request is sent; a bad file opens nothing and stays unchanged.</w:t>
            </w:r>
          </w:p>
        </w:tc>
        <w:tc>
          <w:tcPr>
            <w:tcW w:type="dxa" w:w="1296"/>
            <w:vAlign w:val="top"/>
          </w:tcPr>
          <w:p>
            <w:pPr>
              <w:spacing w:after="40"/>
            </w:pPr>
            <w:r>
              <w:rPr>
                <w:sz w:val="18"/>
              </w:rPr>
              <w:t>Test: hostile sample set under Node and in the app</w:t>
            </w:r>
          </w:p>
        </w:tc>
        <w:tc>
          <w:tcPr>
            <w:tcW w:type="dxa" w:w="1224"/>
            <w:vAlign w:val="top"/>
          </w:tcPr>
          <w:p>
            <w:pPr>
              <w:spacing w:after="40"/>
            </w:pPr>
            <w:r>
              <w:rPr>
                <w:sz w:val="18"/>
              </w:rPr>
              <w:t>FR-09, FR-36, NFR-06, NFR-07</w:t>
            </w:r>
          </w:p>
        </w:tc>
        <w:tc>
          <w:tcPr>
            <w:tcW w:type="dxa" w:w="1800"/>
            <w:vAlign w:val="top"/>
          </w:tcPr>
          <w:p>
            <w:pPr>
              <w:spacing w:after="40"/>
            </w:pPr>
            <w:r>
              <w:rPr>
                <w:sz w:val="18"/>
              </w:rPr>
              <w:t>FormatCodec, ClipboardBridge</w:t>
            </w:r>
          </w:p>
        </w:tc>
      </w:tr>
      <w:tr>
        <w:tc>
          <w:tcPr>
            <w:tcW w:type="dxa" w:w="720"/>
            <w:vAlign w:val="top"/>
          </w:tcPr>
          <w:p>
            <w:pPr>
              <w:spacing w:after="40"/>
            </w:pPr>
            <w:r>
              <w:rPr>
                <w:sz w:val="18"/>
              </w:rPr>
              <w:t>QS-04</w:t>
            </w:r>
          </w:p>
        </w:tc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8"/>
              </w:rPr>
              <w:t>Another program changes an open file, then autosave fires.</w:t>
            </w:r>
          </w:p>
        </w:tc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8"/>
              </w:rPr>
              <w:t>Autosave is skipped; the user chooses Overwrite, Save As, or Cancel; nothing is overwritten silently.</w:t>
            </w:r>
          </w:p>
        </w:tc>
        <w:tc>
          <w:tcPr>
            <w:tcW w:type="dxa" w:w="1296"/>
            <w:vAlign w:val="top"/>
          </w:tcPr>
          <w:p>
            <w:pPr>
              <w:spacing w:after="40"/>
            </w:pPr>
            <w:r>
              <w:rPr>
                <w:sz w:val="18"/>
              </w:rPr>
              <w:t>Test: change the file in Notepad</w:t>
            </w:r>
          </w:p>
        </w:tc>
        <w:tc>
          <w:tcPr>
            <w:tcW w:type="dxa" w:w="1224"/>
            <w:vAlign w:val="top"/>
          </w:tcPr>
          <w:p>
            <w:pPr>
              <w:spacing w:after="40"/>
            </w:pPr>
            <w:r>
              <w:rPr>
                <w:sz w:val="18"/>
              </w:rPr>
              <w:t>FR-13, FR-15</w:t>
            </w:r>
          </w:p>
        </w:tc>
        <w:tc>
          <w:tcPr>
            <w:tcW w:type="dxa" w:w="1800"/>
            <w:vAlign w:val="top"/>
          </w:tcPr>
          <w:p>
            <w:pPr>
              <w:spacing w:after="40"/>
            </w:pPr>
            <w:r>
              <w:rPr>
                <w:sz w:val="18"/>
              </w:rPr>
              <w:t>AutosaveService, FileService</w:t>
            </w:r>
          </w:p>
        </w:tc>
      </w:tr>
      <w:tr>
        <w:tc>
          <w:tcPr>
            <w:tcW w:type="dxa" w:w="720"/>
            <w:vAlign w:val="top"/>
          </w:tcPr>
          <w:p>
            <w:pPr>
              <w:spacing w:after="40"/>
            </w:pPr>
            <w:r>
              <w:rPr>
                <w:sz w:val="18"/>
              </w:rPr>
              <w:t>QS-05</w:t>
            </w:r>
          </w:p>
        </w:tc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8"/>
              </w:rPr>
              <w:t>User exports a document with 20 formulas to Word.</w:t>
            </w:r>
          </w:p>
        </w:tc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8"/>
              </w:rPr>
              <w:t>Each formula is an editable equation, or an image if conversion fails; done within 10 s.</w:t>
            </w:r>
          </w:p>
        </w:tc>
        <w:tc>
          <w:tcPr>
            <w:tcW w:type="dxa" w:w="1296"/>
            <w:vAlign w:val="top"/>
          </w:tcPr>
          <w:p>
            <w:pPr>
              <w:spacing w:after="40"/>
            </w:pPr>
            <w:r>
              <w:rPr>
                <w:sz w:val="18"/>
              </w:rPr>
              <w:t>Test: open in Word</w:t>
            </w:r>
          </w:p>
        </w:tc>
        <w:tc>
          <w:tcPr>
            <w:tcW w:type="dxa" w:w="1224"/>
            <w:vAlign w:val="top"/>
          </w:tcPr>
          <w:p>
            <w:pPr>
              <w:spacing w:after="40"/>
            </w:pPr>
            <w:r>
              <w:rPr>
                <w:sz w:val="18"/>
              </w:rPr>
              <w:t>FR-56, FR-57, NFR-04</w:t>
            </w:r>
          </w:p>
        </w:tc>
        <w:tc>
          <w:tcPr>
            <w:tcW w:type="dxa" w:w="1800"/>
            <w:vAlign w:val="top"/>
          </w:tcPr>
          <w:p>
            <w:pPr>
              <w:spacing w:after="40"/>
            </w:pPr>
            <w:r>
              <w:rPr>
                <w:sz w:val="18"/>
              </w:rPr>
              <w:t>ExportService</w:t>
            </w:r>
          </w:p>
        </w:tc>
      </w:tr>
      <w:tr>
        <w:tc>
          <w:tcPr>
            <w:tcW w:type="dxa" w:w="720"/>
            <w:vAlign w:val="top"/>
          </w:tcPr>
          <w:p>
            <w:pPr>
              <w:spacing w:after="40"/>
            </w:pPr>
            <w:r>
              <w:rPr>
                <w:sz w:val="18"/>
              </w:rPr>
              <w:t>QS-06</w:t>
            </w:r>
          </w:p>
        </w:tc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8"/>
              </w:rPr>
              <w:t>Another Windows user on the same PC reads Obelisk's app data.</w:t>
            </w:r>
          </w:p>
        </w:tc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8"/>
              </w:rPr>
              <w:t>Saved signatures are unreadable without the owner's DPAPI key.</w:t>
            </w:r>
          </w:p>
        </w:tc>
        <w:tc>
          <w:tcPr>
            <w:tcW w:type="dxa" w:w="1296"/>
            <w:vAlign w:val="top"/>
          </w:tcPr>
          <w:p>
            <w:pPr>
              <w:spacing w:after="40"/>
            </w:pPr>
            <w:r>
              <w:rPr>
                <w:sz w:val="18"/>
              </w:rPr>
              <w:t>Inspection: read the file as another user</w:t>
            </w:r>
          </w:p>
        </w:tc>
        <w:tc>
          <w:tcPr>
            <w:tcW w:type="dxa" w:w="1224"/>
            <w:vAlign w:val="top"/>
          </w:tcPr>
          <w:p>
            <w:pPr>
              <w:spacing w:after="40"/>
            </w:pPr>
            <w:r>
              <w:rPr>
                <w:sz w:val="18"/>
              </w:rPr>
              <w:t>NFR-08, NFR-09</w:t>
            </w:r>
          </w:p>
        </w:tc>
        <w:tc>
          <w:tcPr>
            <w:tcW w:type="dxa" w:w="1800"/>
            <w:vAlign w:val="top"/>
          </w:tcPr>
          <w:p>
            <w:pPr>
              <w:spacing w:after="40"/>
            </w:pPr>
            <w:r>
              <w:rPr>
                <w:sz w:val="18"/>
              </w:rPr>
              <w:t>SignatureStore</w:t>
            </w:r>
          </w:p>
        </w:tc>
      </w:tr>
    </w:tbl>
    <w:p>
      <w:pPr>
        <w:spacing w:after="40"/>
      </w:pPr>
    </w:p>
    <w:p>
      <w:pPr>
        <w:pStyle w:val="Heading1"/>
      </w:pPr>
      <w:r>
        <w:t>4. Architectural style</w:t>
      </w:r>
    </w:p>
    <w:p>
      <w:r>
        <w:t>Local-first modular monolith. One Electron main process owns all file, print, and export work. One sandboxed renderer per window owns the editor. They talk only over a narrow, typed IPC bridge exposed by the preload script. This keeps every disk write in one tested place (ADR-001), keeps untrusted content away from Node, and needs no server, which matches NFR-05.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1296"/>
        <w:gridCol w:w="5904"/>
      </w:tblGrid>
      <w:tr>
        <w:trPr>
          <w:tblHeader w:val="true"/>
        </w:trPr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9"/>
              </w:rPr>
              <w:t>Component</w:t>
            </w:r>
          </w:p>
        </w:tc>
        <w:tc>
          <w:tcPr>
            <w:tcW w:type="dxa" w:w="1296"/>
            <w:shd w:val="clear" w:color="auto" w:fill="D9E2F3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5904"/>
            <w:shd w:val="clear" w:color="auto" w:fill="D9E2F3"/>
          </w:tcPr>
          <w:p>
            <w:r/>
            <w:r>
              <w:rPr>
                <w:b/>
                <w:sz w:val="19"/>
              </w:rPr>
              <w:t>Responsibility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Shell and Tabs</w:t>
            </w:r>
          </w:p>
        </w:tc>
        <w:tc>
          <w:tcPr>
            <w:tcW w:type="dxa" w:w="1296"/>
            <w:vAlign w:val="top"/>
          </w:tcPr>
          <w:p>
            <w:pPr>
              <w:spacing w:after="40"/>
            </w:pPr>
            <w:r>
              <w:rPr>
                <w:sz w:val="19"/>
              </w:rPr>
              <w:t>Renderer</w:t>
            </w:r>
          </w:p>
        </w:tc>
        <w:tc>
          <w:tcPr>
            <w:tcW w:type="dxa" w:w="5904"/>
            <w:vAlign w:val="top"/>
          </w:tcPr>
          <w:p>
            <w:pPr>
              <w:spacing w:after="40"/>
            </w:pPr>
            <w:r>
              <w:rPr>
                <w:sz w:val="19"/>
              </w:rPr>
              <w:t>Window regions, menus, tab strip, status bar, Preferences and About tabs, prompts.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EditorCore</w:t>
            </w:r>
          </w:p>
        </w:tc>
        <w:tc>
          <w:tcPr>
            <w:tcW w:type="dxa" w:w="1296"/>
            <w:vAlign w:val="top"/>
          </w:tcPr>
          <w:p>
            <w:pPr>
              <w:spacing w:after="40"/>
            </w:pPr>
            <w:r>
              <w:rPr>
                <w:sz w:val="19"/>
              </w:rPr>
              <w:t>Renderer</w:t>
            </w:r>
          </w:p>
        </w:tc>
        <w:tc>
          <w:tcPr>
            <w:tcW w:type="dxa" w:w="5904"/>
            <w:vAlign w:val="top"/>
          </w:tcPr>
          <w:p>
            <w:pPr>
              <w:spacing w:after="40"/>
            </w:pPr>
            <w:r>
              <w:rPr>
                <w:sz w:val="19"/>
              </w:rPr>
              <w:t>Document model, typing, shortcuts, slash menu, undo, selection, block moves, find and replace, page layout.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BlockViews</w:t>
            </w:r>
          </w:p>
        </w:tc>
        <w:tc>
          <w:tcPr>
            <w:tcW w:type="dxa" w:w="1296"/>
            <w:vAlign w:val="top"/>
          </w:tcPr>
          <w:p>
            <w:pPr>
              <w:spacing w:after="40"/>
            </w:pPr>
            <w:r>
              <w:rPr>
                <w:sz w:val="19"/>
              </w:rPr>
              <w:t>Renderer</w:t>
            </w:r>
          </w:p>
        </w:tc>
        <w:tc>
          <w:tcPr>
            <w:tcW w:type="dxa" w:w="5904"/>
            <w:vAlign w:val="top"/>
          </w:tcPr>
          <w:p>
            <w:pPr>
              <w:spacing w:after="40"/>
            </w:pPr>
            <w:r>
              <w:rPr>
                <w:sz w:val="19"/>
              </w:rPr>
              <w:t>Views for tables (with the TableMath module), images, columns, drawing, signatures, date chips, diagrams.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FormulaRenderer</w:t>
            </w:r>
          </w:p>
        </w:tc>
        <w:tc>
          <w:tcPr>
            <w:tcW w:type="dxa" w:w="1296"/>
            <w:vAlign w:val="top"/>
          </w:tcPr>
          <w:p>
            <w:pPr>
              <w:spacing w:after="40"/>
            </w:pPr>
            <w:r>
              <w:rPr>
                <w:sz w:val="19"/>
              </w:rPr>
              <w:t>Renderer</w:t>
            </w:r>
          </w:p>
        </w:tc>
        <w:tc>
          <w:tcPr>
            <w:tcW w:type="dxa" w:w="5904"/>
            <w:vAlign w:val="top"/>
          </w:tcPr>
          <w:p>
            <w:pPr>
              <w:spacing w:after="40"/>
            </w:pPr>
            <w:r>
              <w:rPr>
                <w:sz w:val="19"/>
              </w:rPr>
              <w:t>KaTeX rendering, live preview, errors; MathML and PNG for export.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ClipboardBridge</w:t>
            </w:r>
          </w:p>
        </w:tc>
        <w:tc>
          <w:tcPr>
            <w:tcW w:type="dxa" w:w="1296"/>
            <w:vAlign w:val="top"/>
          </w:tcPr>
          <w:p>
            <w:pPr>
              <w:spacing w:after="40"/>
            </w:pPr>
            <w:r>
              <w:rPr>
                <w:sz w:val="19"/>
              </w:rPr>
              <w:t>Renderer</w:t>
            </w:r>
          </w:p>
        </w:tc>
        <w:tc>
          <w:tcPr>
            <w:tcW w:type="dxa" w:w="5904"/>
            <w:vAlign w:val="top"/>
          </w:tcPr>
          <w:p>
            <w:pPr>
              <w:spacing w:after="40"/>
            </w:pPr>
            <w:r>
              <w:rPr>
                <w:sz w:val="19"/>
              </w:rPr>
              <w:t>Copy and paste of blocks; sanitizing pasted HTML per the Paste reference.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IPC bridge</w:t>
            </w:r>
          </w:p>
        </w:tc>
        <w:tc>
          <w:tcPr>
            <w:tcW w:type="dxa" w:w="1296"/>
            <w:vAlign w:val="top"/>
          </w:tcPr>
          <w:p>
            <w:pPr>
              <w:spacing w:after="40"/>
            </w:pPr>
            <w:r>
              <w:rPr>
                <w:sz w:val="19"/>
              </w:rPr>
              <w:t>Preload</w:t>
            </w:r>
          </w:p>
        </w:tc>
        <w:tc>
          <w:tcPr>
            <w:tcW w:type="dxa" w:w="5904"/>
            <w:vAlign w:val="top"/>
          </w:tcPr>
          <w:p>
            <w:pPr>
              <w:spacing w:after="40"/>
            </w:pPr>
            <w:r>
              <w:rPr>
                <w:sz w:val="19"/>
              </w:rPr>
              <w:t>The only path from renderer to main: typed calls, validated arguments.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FileService</w:t>
            </w:r>
          </w:p>
        </w:tc>
        <w:tc>
          <w:tcPr>
            <w:tcW w:type="dxa" w:w="1296"/>
            <w:vAlign w:val="top"/>
          </w:tcPr>
          <w:p>
            <w:pPr>
              <w:spacing w:after="40"/>
            </w:pPr>
            <w:r>
              <w:rPr>
                <w:sz w:val="19"/>
              </w:rPr>
              <w:t>Main</w:t>
            </w:r>
          </w:p>
        </w:tc>
        <w:tc>
          <w:tcPr>
            <w:tcW w:type="dxa" w:w="5904"/>
            <w:vAlign w:val="top"/>
          </w:tcPr>
          <w:p>
            <w:pPr>
              <w:spacing w:after="40"/>
            </w:pPr>
            <w:r>
              <w:rPr>
                <w:sz w:val="19"/>
              </w:rPr>
              <w:t>Open and save dialogs, file checks, the one write path, disk-change check, file activation.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FormatCodec</w:t>
            </w:r>
          </w:p>
        </w:tc>
        <w:tc>
          <w:tcPr>
            <w:tcW w:type="dxa" w:w="1296"/>
            <w:vAlign w:val="top"/>
          </w:tcPr>
          <w:p>
            <w:pPr>
              <w:spacing w:after="40"/>
            </w:pPr>
            <w:r>
              <w:rPr>
                <w:sz w:val="19"/>
              </w:rPr>
              <w:t>Main</w:t>
            </w:r>
          </w:p>
        </w:tc>
        <w:tc>
          <w:tcPr>
            <w:tcW w:type="dxa" w:w="5904"/>
            <w:vAlign w:val="top"/>
          </w:tcPr>
          <w:p>
            <w:pPr>
              <w:spacing w:after="40"/>
            </w:pPr>
            <w:r>
              <w:rPr>
                <w:sz w:val="19"/>
              </w:rPr>
              <w:t>Encode and decode .obk files; schema and limit checks. Runs under Node.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AutosaveService</w:t>
            </w:r>
          </w:p>
        </w:tc>
        <w:tc>
          <w:tcPr>
            <w:tcW w:type="dxa" w:w="1296"/>
            <w:vAlign w:val="top"/>
          </w:tcPr>
          <w:p>
            <w:pPr>
              <w:spacing w:after="40"/>
            </w:pPr>
            <w:r>
              <w:rPr>
                <w:sz w:val="19"/>
              </w:rPr>
              <w:t>Main</w:t>
            </w:r>
          </w:p>
        </w:tc>
        <w:tc>
          <w:tcPr>
            <w:tcW w:type="dxa" w:w="5904"/>
            <w:vAlign w:val="top"/>
          </w:tcPr>
          <w:p>
            <w:pPr>
              <w:spacing w:after="40"/>
            </w:pPr>
            <w:r>
              <w:rPr>
                <w:sz w:val="19"/>
              </w:rPr>
              <w:t>Per-tab 30 s timer after the last edit, for saved documents only.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ExportService</w:t>
            </w:r>
          </w:p>
        </w:tc>
        <w:tc>
          <w:tcPr>
            <w:tcW w:type="dxa" w:w="1296"/>
            <w:vAlign w:val="top"/>
          </w:tcPr>
          <w:p>
            <w:pPr>
              <w:spacing w:after="40"/>
            </w:pPr>
            <w:r>
              <w:rPr>
                <w:sz w:val="19"/>
              </w:rPr>
              <w:t>Main</w:t>
            </w:r>
          </w:p>
        </w:tc>
        <w:tc>
          <w:tcPr>
            <w:tcW w:type="dxa" w:w="5904"/>
            <w:vAlign w:val="top"/>
          </w:tcPr>
          <w:p>
            <w:pPr>
              <w:spacing w:after="40"/>
            </w:pPr>
            <w:r>
              <w:rPr>
                <w:sz w:val="19"/>
              </w:rPr>
              <w:t>Print, PDF, Word, and Markdown exporters behind one interface.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SignatureStore</w:t>
            </w:r>
          </w:p>
        </w:tc>
        <w:tc>
          <w:tcPr>
            <w:tcW w:type="dxa" w:w="1296"/>
            <w:vAlign w:val="top"/>
          </w:tcPr>
          <w:p>
            <w:pPr>
              <w:spacing w:after="40"/>
            </w:pPr>
            <w:r>
              <w:rPr>
                <w:sz w:val="19"/>
              </w:rPr>
              <w:t>Main</w:t>
            </w:r>
          </w:p>
        </w:tc>
        <w:tc>
          <w:tcPr>
            <w:tcW w:type="dxa" w:w="5904"/>
            <w:vAlign w:val="top"/>
          </w:tcPr>
          <w:p>
            <w:pPr>
              <w:spacing w:after="40"/>
            </w:pPr>
            <w:r>
              <w:rPr>
                <w:sz w:val="19"/>
              </w:rPr>
              <w:t>Saved signatures, encrypted with safeStorage.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PreferencesStore</w:t>
            </w:r>
          </w:p>
        </w:tc>
        <w:tc>
          <w:tcPr>
            <w:tcW w:type="dxa" w:w="1296"/>
            <w:vAlign w:val="top"/>
          </w:tcPr>
          <w:p>
            <w:pPr>
              <w:spacing w:after="40"/>
            </w:pPr>
            <w:r>
              <w:rPr>
                <w:sz w:val="19"/>
              </w:rPr>
              <w:t>Main</w:t>
            </w:r>
          </w:p>
        </w:tc>
        <w:tc>
          <w:tcPr>
            <w:tcW w:type="dxa" w:w="5904"/>
            <w:vAlign w:val="top"/>
          </w:tcPr>
          <w:p>
            <w:pPr>
              <w:spacing w:after="40"/>
            </w:pPr>
            <w:r>
              <w:rPr>
                <w:sz w:val="19"/>
              </w:rPr>
              <w:t>Preferences in app data.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RecoveryService</w:t>
            </w:r>
          </w:p>
        </w:tc>
        <w:tc>
          <w:tcPr>
            <w:tcW w:type="dxa" w:w="1296"/>
            <w:vAlign w:val="top"/>
          </w:tcPr>
          <w:p>
            <w:pPr>
              <w:spacing w:after="40"/>
            </w:pPr>
            <w:r>
              <w:rPr>
                <w:sz w:val="19"/>
              </w:rPr>
              <w:t>Main</w:t>
            </w:r>
          </w:p>
        </w:tc>
        <w:tc>
          <w:tcPr>
            <w:tcW w:type="dxa" w:w="5904"/>
            <w:vAlign w:val="top"/>
          </w:tcPr>
          <w:p>
            <w:pPr>
              <w:spacing w:after="40"/>
            </w:pPr>
            <w:r>
              <w:rPr>
                <w:sz w:val="19"/>
              </w:rPr>
              <w:t>Recovery copies of never-saved tabs in app data.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5. Architecture views</w:t>
      </w:r>
    </w:p>
    <w:p>
      <w:r>
        <w:t>Each view is a PlantUML source in docs/diagrams/. Component names match the table in section 4.</w:t>
      </w:r>
    </w:p>
    <w:p>
      <w:pPr>
        <w:pStyle w:val="Heading2"/>
      </w:pPr>
      <w:r>
        <w:t>5.1 Use case 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17772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use-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17772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Figure 1. </w:t>
      </w:r>
      <w:r>
        <w:rPr>
          <w:i/>
        </w:rPr>
        <w:t>Obelisk use cases</w:t>
      </w:r>
    </w:p>
    <w:p>
      <w:r>
        <w:rPr>
          <w:b/>
        </w:rPr>
        <w:t xml:space="preserve">Purpose: </w:t>
      </w:r>
      <w:r>
        <w:t>Shows who uses Obelisk for what; details are in SRS section 8.</w:t>
      </w:r>
    </w:p>
    <w:p>
      <w:r>
        <w:rPr>
          <w:b/>
        </w:rPr>
        <w:t xml:space="preserve">Assumption: </w:t>
      </w:r>
      <w:r>
        <w:t>One user; Windows and the Store are supporting actors.</w:t>
      </w:r>
    </w:p>
    <w:p>
      <w:r>
        <w:rPr>
          <w:b/>
        </w:rPr>
        <w:t xml:space="preserve">Limitation: </w:t>
      </w:r>
      <w:r>
        <w:t>No flows or errors; see the sequences.</w:t>
      </w:r>
    </w:p>
    <w:p>
      <w:pPr>
        <w:pStyle w:val="Heading2"/>
      </w:pPr>
      <w:r>
        <w:t>5.2 Component 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699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mpon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9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Figure 2. </w:t>
      </w:r>
      <w:r>
        <w:rPr>
          <w:i/>
        </w:rPr>
        <w:t>Components and dependencies</w:t>
      </w:r>
    </w:p>
    <w:p>
      <w:r>
        <w:rPr>
          <w:b/>
        </w:rPr>
        <w:t xml:space="preserve">Purpose: </w:t>
      </w:r>
      <w:r>
        <w:t>Shows which component owns each responsibility and the one path to disk.</w:t>
      </w:r>
    </w:p>
    <w:p>
      <w:r>
        <w:rPr>
          <w:b/>
        </w:rPr>
        <w:t xml:space="preserve">Assumption: </w:t>
      </w:r>
      <w:r>
        <w:t>One window with many tabs; one renderer per window.</w:t>
      </w:r>
    </w:p>
    <w:p>
      <w:r>
        <w:rPr>
          <w:b/>
        </w:rPr>
        <w:t xml:space="preserve">Limitation: </w:t>
      </w:r>
      <w:r>
        <w:t>Sub-modules such as TableMath and the exporters are not drawn.</w:t>
      </w:r>
    </w:p>
    <w:p>
      <w:pPr>
        <w:pStyle w:val="Heading2"/>
      </w:pPr>
      <w:r>
        <w:t>5.3 Sequence: save and autosave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7365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equence-sa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6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Figure 3. </w:t>
      </w:r>
      <w:r>
        <w:rPr>
          <w:i/>
        </w:rPr>
        <w:t>Save and autosave, with conflict and timeout</w:t>
      </w:r>
    </w:p>
    <w:p>
      <w:r>
        <w:rPr>
          <w:b/>
        </w:rPr>
        <w:t xml:space="preserve">Purpose: </w:t>
      </w:r>
      <w:r>
        <w:t>Shows the critical write path and its two failure branches.</w:t>
      </w:r>
    </w:p>
    <w:p>
      <w:r>
        <w:rPr>
          <w:b/>
        </w:rPr>
        <w:t xml:space="preserve">Assumption: </w:t>
      </w:r>
      <w:r>
        <w:t>The target is on a local NTFS disk.</w:t>
      </w:r>
    </w:p>
    <w:p>
      <w:r>
        <w:rPr>
          <w:b/>
        </w:rPr>
        <w:t xml:space="preserve">Limitation: </w:t>
      </w:r>
      <w:r>
        <w:t>Save As and the first Save add the Save dialog before this flow.</w:t>
      </w:r>
    </w:p>
    <w:p>
      <w:pPr>
        <w:pStyle w:val="Heading2"/>
      </w:pPr>
      <w:r>
        <w:t>5.4 Sequence: export to Word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520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equence-export-wo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2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Figure 4. </w:t>
      </w:r>
      <w:r>
        <w:rPr>
          <w:i/>
        </w:rPr>
        <w:t>Word export with equation fallback</w:t>
      </w:r>
    </w:p>
    <w:p>
      <w:r>
        <w:rPr>
          <w:b/>
        </w:rPr>
        <w:t xml:space="preserve">Purpose: </w:t>
      </w:r>
      <w:r>
        <w:t>Shows how formulas reach Word as equations or images.</w:t>
      </w:r>
    </w:p>
    <w:p>
      <w:r>
        <w:rPr>
          <w:b/>
        </w:rPr>
        <w:t xml:space="preserve">Assumption: </w:t>
      </w:r>
      <w:r>
        <w:t>KaTeX MathML is produced in the renderer, where KaTeX runs.</w:t>
      </w:r>
    </w:p>
    <w:p>
      <w:r>
        <w:rPr>
          <w:b/>
        </w:rPr>
        <w:t xml:space="preserve">Limitation: </w:t>
      </w:r>
      <w:r>
        <w:t>Other blocks are mapped per the SRS Export reference and are not drawn.</w:t>
      </w:r>
    </w:p>
    <w:p>
      <w:pPr>
        <w:pStyle w:val="Heading2"/>
      </w:pPr>
      <w:r>
        <w:t>5.5 Class 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9259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l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Figure 5. </w:t>
      </w:r>
      <w:r>
        <w:rPr>
          <w:i/>
        </w:rPr>
        <w:t>Document domain model</w:t>
      </w:r>
    </w:p>
    <w:p>
      <w:r>
        <w:rPr>
          <w:b/>
        </w:rPr>
        <w:t xml:space="preserve">Purpose: </w:t>
      </w:r>
      <w:r>
        <w:t>Shows the entities stored in an .obk file and their multiplicities.</w:t>
      </w:r>
    </w:p>
    <w:p>
      <w:r>
        <w:rPr>
          <w:b/>
        </w:rPr>
        <w:t xml:space="preserve">Assumption: </w:t>
      </w:r>
      <w:r>
        <w:t>Format version 1 (OD-02).</w:t>
      </w:r>
    </w:p>
    <w:p>
      <w:r>
        <w:rPr>
          <w:b/>
        </w:rPr>
        <w:t xml:space="preserve">Limitation: </w:t>
      </w:r>
      <w:r>
        <w:t>Lists, quotes, and other text blocks are shown as TextBlock.</w:t>
      </w:r>
    </w:p>
    <w:p>
      <w:pPr>
        <w:pStyle w:val="Heading2"/>
      </w:pPr>
      <w:r>
        <w:t>5.6 Deployment 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478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eploy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7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Figure 6. </w:t>
      </w:r>
      <w:r>
        <w:rPr>
          <w:i/>
        </w:rPr>
        <w:t>Deployment on a Windows PC</w:t>
      </w:r>
    </w:p>
    <w:p>
      <w:r>
        <w:rPr>
          <w:b/>
        </w:rPr>
        <w:t xml:space="preserve">Purpose: </w:t>
      </w:r>
      <w:r>
        <w:t>Shows where each artifact lives and which folders MSIX redirects.</w:t>
      </w:r>
    </w:p>
    <w:p>
      <w:r>
        <w:rPr>
          <w:b/>
        </w:rPr>
        <w:t xml:space="preserve">Assumption: </w:t>
      </w:r>
      <w:r>
        <w:t>Per-user MSIX install from the Store.</w:t>
      </w:r>
    </w:p>
    <w:p>
      <w:r>
        <w:rPr>
          <w:b/>
        </w:rPr>
        <w:t xml:space="preserve">Limitation: </w:t>
      </w:r>
      <w:r>
        <w:t>MSIX redirection of app data is from Microsoft docs, not yet tested here.</w:t>
      </w:r>
    </w:p>
    <w:p>
      <w:r>
        <w:rPr>
          <w:b/>
          <w:color w:val="B00000"/>
        </w:rPr>
        <w:t xml:space="preserve">UNVERIFIED: </w:t>
      </w:r>
      <w:r>
        <w:t>MSIX redirects writes to app data but not to user folders such as Documents. Check in spike S-01; source: Microsoft MSIX docs.</w:t>
      </w:r>
    </w:p>
    <w:p>
      <w:pPr>
        <w:pStyle w:val="Heading2"/>
      </w:pPr>
      <w:r>
        <w:t>5.7 Screen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46962" cy="5486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creen-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6962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Figure 7. </w:t>
      </w:r>
      <w:r>
        <w:rPr>
          <w:i/>
        </w:rPr>
        <w:t>Screen flow</w:t>
      </w:r>
    </w:p>
    <w:p>
      <w:r>
        <w:rPr>
          <w:b/>
        </w:rPr>
        <w:t xml:space="preserve">Purpose: </w:t>
      </w:r>
      <w:r>
        <w:t>Shows how the user moves between the editor, dialogs, and tabs.</w:t>
      </w:r>
    </w:p>
    <w:p>
      <w:r>
        <w:rPr>
          <w:b/>
        </w:rPr>
        <w:t xml:space="preserve">Assumption: </w:t>
      </w:r>
      <w:r>
        <w:t>Preferences and About open as tabs, not windows.</w:t>
      </w:r>
    </w:p>
    <w:p>
      <w:r>
        <w:rPr>
          <w:b/>
        </w:rPr>
        <w:t xml:space="preserve">Limitation: </w:t>
      </w:r>
      <w:r>
        <w:t>Menus and context menus are not drawn.</w:t>
      </w:r>
    </w:p>
    <w:p>
      <w:pPr>
        <w:pStyle w:val="Heading2"/>
      </w:pPr>
      <w:r>
        <w:t>5.8 State machine: document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9434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tate-docum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Figure 8. </w:t>
      </w:r>
      <w:r>
        <w:rPr>
          <w:i/>
        </w:rPr>
        <w:t>Document save states</w:t>
      </w:r>
    </w:p>
    <w:p>
      <w:r>
        <w:rPr>
          <w:b/>
        </w:rPr>
        <w:t xml:space="preserve">Purpose: </w:t>
      </w:r>
      <w:r>
        <w:t>Shows the save state of one tab and when autosave applies.</w:t>
      </w:r>
    </w:p>
    <w:p>
      <w:r>
        <w:rPr>
          <w:b/>
        </w:rPr>
        <w:t xml:space="preserve">Assumption: </w:t>
      </w:r>
      <w:r>
        <w:t>One tab per document.</w:t>
      </w:r>
    </w:p>
    <w:p>
      <w:r>
        <w:rPr>
          <w:b/>
        </w:rPr>
        <w:t xml:space="preserve">Limitation: </w:t>
      </w:r>
      <w:r>
        <w:t>Recovery copies are shown only as a NeverSaved self-transition.</w:t>
      </w:r>
    </w:p>
    <w:p>
      <w:pPr>
        <w:pStyle w:val="Heading1"/>
        <w:pageBreakBefore/>
      </w:pPr>
      <w:r>
        <w:t>6. Behavior and contract</w:t>
      </w:r>
    </w:p>
    <w:p>
      <w:r>
        <w:t>The critical operation is saving a document (FR-10, FR-11, FR-14). Figure 3 shows the flow.</w:t>
      </w:r>
    </w:p>
    <w:p>
      <w:pPr>
        <w:pStyle w:val="Heading2"/>
      </w:pPr>
      <w:r>
        <w:t>6.1 Save contract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7200"/>
            <w:shd w:val="clear" w:color="auto" w:fill="D9E2F3"/>
          </w:tcPr>
          <w:p>
            <w:r/>
            <w:r>
              <w:rPr>
                <w:b/>
                <w:sz w:val="19"/>
              </w:rPr>
              <w:t>Rule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Operation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9"/>
              </w:rPr>
              <w:t>file:save, called by Save, Save As, autosave; one path (ADR-002)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Inputs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9"/>
              </w:rPr>
              <w:t>tabId; document model; target path; expected stat (size and modified time) from the last read or write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Outputs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9"/>
              </w:rPr>
              <w:t>ok with new stat; conflict with current stat; timeout; error with a message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Authorization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9"/>
              </w:rPr>
              <w:t>Only paths the user picked in a dialog or opened in this session; checked in FileService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Before writing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9"/>
              </w:rPr>
              <w:t>stat the target; if it differs from the expected stat, return conflict, write nothing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Atomicity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9"/>
              </w:rPr>
              <w:t>Write a temp file in the same folder, flush, then replace the target in one rename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Timeout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9"/>
              </w:rPr>
              <w:t>5 s from start (NFR-11); the temp file is removed; the tab stays changed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Retry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9"/>
              </w:rPr>
              <w:t>On EPERM or EBUSY during replace (antivirus, indexer): 3 tries, 100 ms apart, then error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State changes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9"/>
              </w:rPr>
              <w:t>Changed to Saving to Clean on ok; back to Changed on timeout or error; Conflict on conflict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Autosave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9"/>
              </w:rPr>
              <w:t>Same call with the stored path; on conflict it shows the choice once and pauses autosave for that tab</w:t>
            </w:r>
          </w:p>
        </w:tc>
      </w:tr>
    </w:tbl>
    <w:p>
      <w:pPr>
        <w:spacing w:after="40"/>
      </w:pPr>
    </w:p>
    <w:p>
      <w:r>
        <w:rPr>
          <w:b/>
          <w:color w:val="B00000"/>
        </w:rPr>
        <w:t xml:space="preserve">UNVERIFIED: </w:t>
      </w:r>
      <w:r>
        <w:t>That fs.rename over an existing file maps to an atomic replace (MoveFileEx with replace) on NTFS from an MSIX-packaged app. Check in spike S-01; source: Node.js fs docs and libuv.</w:t>
      </w:r>
    </w:p>
    <w:p>
      <w:pPr>
        <w:pStyle w:val="Heading2"/>
      </w:pPr>
      <w:r>
        <w:t>6.2 Alternatives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312"/>
        <w:gridCol w:w="4608"/>
      </w:tblGrid>
      <w:tr>
        <w:trPr>
          <w:tblHeader w:val="true"/>
        </w:trPr>
        <w:tc>
          <w:tcPr>
            <w:tcW w:type="dxa" w:w="1440"/>
            <w:shd w:val="clear" w:color="auto" w:fill="D9E2F3"/>
          </w:tcPr>
          <w:p>
            <w:r/>
            <w:r>
              <w:rPr>
                <w:b/>
                <w:sz w:val="19"/>
              </w:rPr>
              <w:t>Case</w:t>
            </w:r>
          </w:p>
        </w:tc>
        <w:tc>
          <w:tcPr>
            <w:tcW w:type="dxa" w:w="3312"/>
            <w:shd w:val="clear" w:color="auto" w:fill="D9E2F3"/>
          </w:tcPr>
          <w:p>
            <w:r/>
            <w:r>
              <w:rPr>
                <w:b/>
                <w:sz w:val="19"/>
              </w:rPr>
              <w:t>Trigger</w:t>
            </w:r>
          </w:p>
        </w:tc>
        <w:tc>
          <w:tcPr>
            <w:tcW w:type="dxa" w:w="4608"/>
            <w:shd w:val="clear" w:color="auto" w:fill="D9E2F3"/>
          </w:tcPr>
          <w:p>
            <w:r/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9"/>
              </w:rPr>
              <w:t>Conflict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9"/>
              </w:rPr>
              <w:t>Another program changed the file</w:t>
            </w:r>
          </w:p>
        </w:tc>
        <w:tc>
          <w:tcPr>
            <w:tcW w:type="dxa" w:w="4608"/>
            <w:vAlign w:val="top"/>
          </w:tcPr>
          <w:p>
            <w:pPr>
              <w:spacing w:after="40"/>
            </w:pPr>
            <w:r>
              <w:rPr>
                <w:sz w:val="19"/>
              </w:rPr>
              <w:t>Return conflict; the user picks Overwrite (save with the new stat), Save As, or Cancel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9"/>
              </w:rPr>
              <w:t>Timeout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9"/>
              </w:rPr>
              <w:t>No completion within 5 s (slow or network folder)</w:t>
            </w:r>
          </w:p>
        </w:tc>
        <w:tc>
          <w:tcPr>
            <w:tcW w:type="dxa" w:w="4608"/>
            <w:vAlign w:val="top"/>
          </w:tcPr>
          <w:p>
            <w:pPr>
              <w:spacing w:after="40"/>
            </w:pPr>
            <w:r>
              <w:rPr>
                <w:sz w:val="19"/>
              </w:rPr>
              <w:t>Return timeout; tab stays changed; status bar says Not saved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9"/>
              </w:rPr>
              <w:t>Error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9"/>
              </w:rPr>
              <w:t>Disk full, access denied, path gone</w:t>
            </w:r>
          </w:p>
        </w:tc>
        <w:tc>
          <w:tcPr>
            <w:tcW w:type="dxa" w:w="4608"/>
            <w:vAlign w:val="top"/>
          </w:tcPr>
          <w:p>
            <w:pPr>
              <w:spacing w:after="40"/>
            </w:pPr>
            <w:r>
              <w:rPr>
                <w:sz w:val="19"/>
              </w:rPr>
              <w:t>Return error with the reason; temp file removed; tab stays changed</w:t>
            </w:r>
          </w:p>
        </w:tc>
      </w:tr>
    </w:tbl>
    <w:p>
      <w:pPr>
        <w:spacing w:after="40"/>
      </w:pPr>
    </w:p>
    <w:p>
      <w:pPr>
        <w:pStyle w:val="Heading2"/>
      </w:pPr>
      <w:r>
        <w:t>6.3 IPC surface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1872"/>
        <w:gridCol w:w="3744"/>
      </w:tblGrid>
      <w:tr>
        <w:trPr>
          <w:tblHeader w:val="true"/>
        </w:trPr>
        <w:tc>
          <w:tcPr>
            <w:tcW w:type="dxa" w:w="3744"/>
            <w:shd w:val="clear" w:color="auto" w:fill="D9E2F3"/>
          </w:tcPr>
          <w:p>
            <w:r/>
            <w:r>
              <w:rPr>
                <w:b/>
                <w:sz w:val="19"/>
              </w:rPr>
              <w:t>Channel</w:t>
            </w:r>
          </w:p>
        </w:tc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19"/>
              </w:rPr>
              <w:t>Direction</w:t>
            </w:r>
          </w:p>
        </w:tc>
        <w:tc>
          <w:tcPr>
            <w:tcW w:type="dxa" w:w="3744"/>
            <w:shd w:val="clear" w:color="auto" w:fill="D9E2F3"/>
          </w:tcPr>
          <w:p>
            <w:r/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file:open</w:t>
            </w:r>
          </w:p>
        </w:tc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19"/>
              </w:rPr>
              <w:t>Renderer to main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9"/>
              </w:rPr>
              <w:t>Show the Open dialog, check, decode, return the document</w:t>
            </w:r>
          </w:p>
        </w:tc>
      </w:tr>
      <w:tr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file:save</w:t>
            </w:r>
          </w:p>
        </w:tc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19"/>
              </w:rPr>
              <w:t>Renderer to main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9"/>
              </w:rPr>
              <w:t>The contract above</w:t>
            </w:r>
          </w:p>
        </w:tc>
      </w:tr>
      <w:tr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file:saveAs</w:t>
            </w:r>
          </w:p>
        </w:tc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19"/>
              </w:rPr>
              <w:t>Renderer to main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9"/>
              </w:rPr>
              <w:t>Save dialog, then file:save to the new path</w:t>
            </w:r>
          </w:p>
        </w:tc>
      </w:tr>
      <w:tr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file:activated</w:t>
            </w:r>
          </w:p>
        </w:tc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19"/>
              </w:rPr>
              <w:t>Main to renderer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9"/>
              </w:rPr>
              <w:t>A file double-clicked in Explorer, for a new tab</w:t>
            </w:r>
          </w:p>
        </w:tc>
      </w:tr>
      <w:tr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export:run</w:t>
            </w:r>
          </w:p>
        </w:tc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19"/>
              </w:rPr>
              <w:t>Renderer to main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9"/>
              </w:rPr>
              <w:t>Format, target path, document, formula MathML and PNGs</w:t>
            </w:r>
          </w:p>
        </w:tc>
      </w:tr>
      <w:tr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print:run</w:t>
            </w:r>
          </w:p>
        </w:tc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19"/>
              </w:rPr>
              <w:t>Renderer to main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9"/>
              </w:rPr>
              <w:t>Print the page layout</w:t>
            </w:r>
          </w:p>
        </w:tc>
      </w:tr>
      <w:tr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prefs:get, prefs:set</w:t>
            </w:r>
          </w:p>
        </w:tc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19"/>
              </w:rPr>
              <w:t>Renderer to main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9"/>
              </w:rPr>
              <w:t>Read and write preferences</w:t>
            </w:r>
          </w:p>
        </w:tc>
      </w:tr>
      <w:tr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sig:list, sig:save, sig:delete</w:t>
            </w:r>
          </w:p>
        </w:tc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19"/>
              </w:rPr>
              <w:t>Renderer to main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9"/>
              </w:rPr>
              <w:t>Saved signatures</w:t>
            </w:r>
          </w:p>
        </w:tc>
      </w:tr>
      <w:tr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rFonts w:ascii="Consolas" w:hAnsi="Consolas"/>
                <w:sz w:val="19"/>
              </w:rPr>
              <w:t>recovery:put, recovery:list, recovery:drop</w:t>
            </w:r>
          </w:p>
        </w:tc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19"/>
              </w:rPr>
              <w:t>Renderer to main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9"/>
              </w:rPr>
              <w:t>Recovery copies</w:t>
            </w:r>
          </w:p>
        </w:tc>
      </w:tr>
    </w:tbl>
    <w:p>
      <w:pPr>
        <w:spacing w:after="40"/>
      </w:pPr>
    </w:p>
    <w:p>
      <w:pPr>
        <w:pStyle w:val="Heading2"/>
      </w:pPr>
      <w:r>
        <w:t>6.4 Security baseline</w:t>
      </w:r>
    </w:p>
    <w:p>
      <w:pPr>
        <w:pStyle w:val="ListBullet"/>
        <w:spacing w:after="60"/>
      </w:pPr>
      <w:r>
        <w:t>contextIsolation on, sandbox on, nodeIntegration off in every renderer.</w:t>
      </w:r>
    </w:p>
    <w:p>
      <w:pPr>
        <w:pStyle w:val="ListBullet"/>
        <w:spacing w:after="60"/>
      </w:pPr>
      <w:r>
        <w:t>A strict Content Security Policy: no remote scripts, styles, images, or frames.</w:t>
      </w:r>
    </w:p>
    <w:p>
      <w:pPr>
        <w:pStyle w:val="ListBullet"/>
        <w:spacing w:after="60"/>
      </w:pPr>
      <w:r>
        <w:t>Navigation and new windows blocked; links open in the default browser after a prompt.</w:t>
      </w:r>
    </w:p>
    <w:p>
      <w:pPr>
        <w:pStyle w:val="ListBullet"/>
        <w:spacing w:after="60"/>
      </w:pPr>
      <w:r>
        <w:t>The IPC bridge exposes named functions only, and main validates every argument.</w:t>
      </w:r>
    </w:p>
    <w:p>
      <w:pPr>
        <w:pStyle w:val="ListBullet"/>
        <w:spacing w:after="60"/>
      </w:pPr>
      <w:r>
        <w:t>Documents are decoded from JSON into the schema; no stored HTML is ever rendered.</w:t>
      </w:r>
    </w:p>
    <w:p>
      <w:pPr>
        <w:pStyle w:val="Heading1"/>
        <w:pageBreakBefore/>
      </w:pPr>
      <w:r>
        <w:t>7. Architecture decisions</w:t>
      </w:r>
    </w:p>
    <w:p>
      <w:r>
        <w:t>All decisions are Proposed until accepted. Structure: ADR-001. Failure handling: ADR-002.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6624"/>
        <w:gridCol w:w="1584"/>
      </w:tblGrid>
      <w:tr>
        <w:trPr>
          <w:tblHeader w:val="true"/>
        </w:trPr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9"/>
              </w:rPr>
              <w:t>ADR</w:t>
            </w:r>
          </w:p>
        </w:tc>
        <w:tc>
          <w:tcPr>
            <w:tcW w:type="dxa" w:w="6624"/>
            <w:shd w:val="clear" w:color="auto" w:fill="D9E2F3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1584"/>
            <w:shd w:val="clear" w:color="auto" w:fill="D9E2F3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9"/>
              </w:rPr>
              <w:t>ADR-001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9"/>
              </w:rPr>
              <w:t>The main process owns all file access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9"/>
              </w:rPr>
              <w:t>ADR-002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9"/>
              </w:rPr>
              <w:t>Save, Save As, and autosave share one complete-file write path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9"/>
              </w:rPr>
              <w:t>ADR-003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9"/>
              </w:rPr>
              <w:t>One ZIP container per document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9"/>
              </w:rPr>
              <w:t>ADR-004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9"/>
              </w:rPr>
              <w:t>Editor built on a ProseMirror-based core with custom block views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9"/>
              </w:rPr>
              <w:t>ADR-005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9"/>
              </w:rPr>
              <w:t>Formulas: KaTeX on screen and PDF, OMML for Word, image fallback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9"/>
              </w:rPr>
              <w:t>ADR-006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9"/>
              </w:rPr>
              <w:t>Each exporter is a separate module behind one interface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9"/>
              </w:rPr>
              <w:t>ADR-007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9"/>
              </w:rPr>
              <w:t>Saved signatures encrypted with safeStorage in app data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9"/>
              </w:rPr>
              <w:t>ADR-008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9"/>
              </w:rPr>
              <w:t>Microsoft Store MSIX as the only release channel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9"/>
              </w:rPr>
              <w:t>Proposed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9"/>
              </w:rPr>
              <w:t>ADR-009</w:t>
            </w:r>
          </w:p>
        </w:tc>
        <w:tc>
          <w:tcPr>
            <w:tcW w:type="dxa" w:w="6624"/>
            <w:vAlign w:val="top"/>
          </w:tcPr>
          <w:p>
            <w:pPr>
              <w:spacing w:after="40"/>
            </w:pPr>
            <w:r>
              <w:rPr>
                <w:sz w:val="19"/>
              </w:rPr>
              <w:t>Single instance with file activation, and recovery copies in app data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9"/>
              </w:rPr>
              <w:t>Proposed</w:t>
            </w:r>
          </w:p>
        </w:tc>
      </w:tr>
    </w:tbl>
    <w:p>
      <w:pPr>
        <w:spacing w:after="40"/>
      </w:pPr>
    </w:p>
    <w:p>
      <w:pPr>
        <w:pStyle w:val="Heading2"/>
      </w:pPr>
      <w:r>
        <w:t>ADR-001 The main process owns all file access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7488"/>
      </w:tblGrid>
      <w:tr>
        <w:trPr>
          <w:tblHeader w:val="true"/>
        </w:trPr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7488"/>
            <w:shd w:val="clear" w:color="auto" w:fill="D9E2F3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Status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Proposed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Context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Untrusted files and pastes reach the renderer (NFR-06, NFR-07). Disk access must be in one place (NFR-22).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Decision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Only main-process services touch the disk. Renderers call named functions on the IPC bridge; main validates arguments and paths.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Alternatives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Node in the renderer: simpler, but any script bug could reach the disk. A local server: needless for one user.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Consequences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Smaller attack surface and one place to test. Costs: IPC types to keep in step, and copying the document across IPC on save.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Revisit when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Saving very large documents across IPC misses NFR-03.</w:t>
            </w:r>
          </w:p>
        </w:tc>
      </w:tr>
    </w:tbl>
    <w:p>
      <w:pPr>
        <w:spacing w:after="40"/>
      </w:pPr>
    </w:p>
    <w:p>
      <w:pPr>
        <w:pStyle w:val="Heading2"/>
      </w:pPr>
      <w:r>
        <w:t>ADR-002 Save, Save As, and autosave share one complete-file write path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7488"/>
      </w:tblGrid>
      <w:tr>
        <w:trPr>
          <w:tblHeader w:val="true"/>
        </w:trPr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7488"/>
            <w:shd w:val="clear" w:color="auto" w:fill="D9E2F3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Status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Proposed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Context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A file must never be left half-written (NFR-10 to NFR-14). Autosave runs often without the user watching (FR-14, FR-15).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Decision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FileService has one write operation: check the disk stat, write a temp file in the same folder, then replace the target. Save, Save As, and autosave all call it.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Alternatives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Write in place: simpler, but a crash leaves part of a file. Autosave to a side copy: two stores to keep in step.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Consequences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One path to test under Node (NFR-21); autosave inherits the conflict and timeout rules. Costs: a temp file per save and leftover cleanup (NFR-14).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Revisit when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Saves to network or cloud-synced folders show failures.</w:t>
            </w:r>
          </w:p>
        </w:tc>
      </w:tr>
    </w:tbl>
    <w:p>
      <w:pPr>
        <w:spacing w:after="40"/>
      </w:pPr>
    </w:p>
    <w:p>
      <w:pPr>
        <w:pStyle w:val="Heading2"/>
      </w:pPr>
      <w:r>
        <w:t>ADR-003 One ZIP container per document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7488"/>
      </w:tblGrid>
      <w:tr>
        <w:trPr>
          <w:tblHeader w:val="true"/>
        </w:trPr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7488"/>
            <w:shd w:val="clear" w:color="auto" w:fill="D9E2F3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Status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Proposed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Context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A document holds blocks, images, and settings, and must be complete on its own (FR-49, FR-17).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Decision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An .obk file is a ZIP with manifest.json, document.json, and an images folder, per the SRS File format reference.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Alternatives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One JSON file with base64 images: simple, but large and slow. A folder per document: easy to break by moving files.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Consequences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Images stay compact and files are easy to inspect. Costs: ZIP limits and path checks to guard against hostile archives.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Revisit when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Format version 2 is needed (OD-02).</w:t>
            </w:r>
          </w:p>
        </w:tc>
      </w:tr>
    </w:tbl>
    <w:p>
      <w:pPr>
        <w:spacing w:after="40"/>
      </w:pPr>
    </w:p>
    <w:p>
      <w:pPr>
        <w:pStyle w:val="Heading2"/>
      </w:pPr>
      <w:r>
        <w:t>ADR-004 Editor built on a ProseMirror-based core with custom block views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7488"/>
      </w:tblGrid>
      <w:tr>
        <w:trPr>
          <w:tblHeader w:val="true"/>
        </w:trPr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7488"/>
            <w:shd w:val="clear" w:color="auto" w:fill="D9E2F3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Status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Proposed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Context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Blocks, typed shortcuts, undo, and schema checks are core needs (FR-32, FR-35, FR-37).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Decision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Use a ProseMirror-based core with a strict schema. Each block kind is a custom node view in BlockViews.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Alternatives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contenteditable from scratch: too much work for one developer. Other editor frameworks: less control over the schema.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Consequences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A proven model for undo and input rules. Costs: learning curve; pagination is custom (FR-74).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Revisit when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Pages view layout cannot meet NFR-02.</w:t>
            </w:r>
          </w:p>
        </w:tc>
      </w:tr>
    </w:tbl>
    <w:p>
      <w:pPr>
        <w:spacing w:after="40"/>
      </w:pPr>
    </w:p>
    <w:p>
      <w:pPr>
        <w:pStyle w:val="Heading2"/>
      </w:pPr>
      <w:r>
        <w:t>ADR-005 Formulas: KaTeX on screen and PDF, OMML for Word, image fallback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7488"/>
      </w:tblGrid>
      <w:tr>
        <w:trPr>
          <w:tblHeader w:val="true"/>
        </w:trPr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7488"/>
            <w:shd w:val="clear" w:color="auto" w:fill="D9E2F3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Status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Proposed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Context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Formulas are the standout feature (FR-53). Word needs native equations (FR-57), but conversion may fail (FR-56).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Decision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KaTeX renders on screen and in PDF. For Word, KaTeX MathML goes through mathml2omml; on failure, or if not built, the formula is a PNG.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Alternatives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MathJax: heavier. Images only: Word users cannot edit equations.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Consequences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Word export never fails because of a formula. Costs: an LGPL module (NFR-29) and possible fidelity gaps (R-01).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Revisit when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mathml2omml fidelity is poor on the SRS samples.</w:t>
            </w:r>
          </w:p>
        </w:tc>
      </w:tr>
    </w:tbl>
    <w:p>
      <w:pPr>
        <w:spacing w:after="40"/>
      </w:pPr>
    </w:p>
    <w:p>
      <w:pPr>
        <w:pStyle w:val="Heading2"/>
      </w:pPr>
      <w:r>
        <w:t>ADR-006 Each exporter is a separate module behind one 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7488"/>
      </w:tblGrid>
      <w:tr>
        <w:trPr>
          <w:tblHeader w:val="true"/>
        </w:trPr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7488"/>
            <w:shd w:val="clear" w:color="auto" w:fill="D9E2F3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Status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Proposed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Context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PDF, Word, and Markdown map every block differently (SRS Export reference). HTML and .txt may come later.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Decision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ExportService calls one interface, export(document, assets, path); each format is a module testable under Node, except PDF, which uses printToPDF.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Alternatives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One exporter with format switches: grows tangled.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Consequences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Formats are tested and cut on their own; HTML can be added later. Cost: some shared mapping code.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Revisit when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A future format needs a different input than the block tree.</w:t>
            </w:r>
          </w:p>
        </w:tc>
      </w:tr>
    </w:tbl>
    <w:p>
      <w:pPr>
        <w:spacing w:after="40"/>
      </w:pPr>
    </w:p>
    <w:p>
      <w:pPr>
        <w:pStyle w:val="Heading2"/>
      </w:pPr>
      <w:r>
        <w:t>ADR-007 Saved signatures encrypted with safeStorage in app data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7488"/>
      </w:tblGrid>
      <w:tr>
        <w:trPr>
          <w:tblHeader w:val="true"/>
        </w:trPr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7488"/>
            <w:shd w:val="clear" w:color="auto" w:fill="D9E2F3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Status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Proposed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Context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Signatures are sensitive (NFR-08, NFR-09). The app has no account or key store.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Decision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SignatureStore encrypts each signature with Electron safeStorage (async API) before writing; if encryption is unavailable, it saves nothing and says so.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Alternatives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Plain files: readable by any user with access. Own key file: the key sits next to the data.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Consequences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Uses DPAPI with no key handling. Limitation: other apps of the same user can decrypt (UNVERIFIED, Electron docs).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Revisit when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Electron changes the safeStorage API again.</w:t>
            </w:r>
          </w:p>
        </w:tc>
      </w:tr>
    </w:tbl>
    <w:p>
      <w:pPr>
        <w:spacing w:after="40"/>
      </w:pPr>
    </w:p>
    <w:p>
      <w:pPr>
        <w:pStyle w:val="Heading2"/>
      </w:pPr>
      <w:r>
        <w:t>ADR-008 Microsoft Store MSIX as the only release channel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7488"/>
      </w:tblGrid>
      <w:tr>
        <w:trPr>
          <w:tblHeader w:val="true"/>
        </w:trPr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7488"/>
            <w:shd w:val="clear" w:color="auto" w:fill="D9E2F3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Status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Proposed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Context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Release is Store only (NFR-24, NFR-31, NFR-27).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Decision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Package as MSIX, per-user, with the .obk file-type association; updates only through the Store.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Alternatives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A separate installer: needs code signing and an updater.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Consequences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Free signing and updates; clean uninstall. Costs: certification time (R-04) and MSIX file-system rules (R-06).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Revisit when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Users ask for a download outside the Store.</w:t>
            </w:r>
          </w:p>
        </w:tc>
      </w:tr>
    </w:tbl>
    <w:p>
      <w:pPr>
        <w:spacing w:after="40"/>
      </w:pPr>
    </w:p>
    <w:p>
      <w:pPr>
        <w:pStyle w:val="Heading2"/>
      </w:pPr>
      <w:r>
        <w:t>ADR-009 Single instance with file activation, and recovery copies in app data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7488"/>
      </w:tblGrid>
      <w:tr>
        <w:trPr>
          <w:tblHeader w:val="true"/>
        </w:trPr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7488"/>
            <w:shd w:val="clear" w:color="auto" w:fill="D9E2F3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Status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Proposed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Context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Double-clicked files open as tabs (FR-18). Never-saved tabs need crash safety (FR-19 to FR-21).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Decision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Main takes the single-instance lock; a second launch passes its file path through the second-instance event. RecoveryService writes recovery copies to app data with the same temp-then-replace helper.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Alternatives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Many windows, one per file: breaks the tab model. Recovery in the user's folder: leaves files the user never asked for.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Consequences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One window, one place for recovery. Costs: the lock must release on crash, and the activation path needs an MSIX test (R-06).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20"/>
              </w:rPr>
              <w:t>Revisit when</w:t>
            </w:r>
          </w:p>
        </w:tc>
        <w:tc>
          <w:tcPr>
            <w:tcW w:type="dxa" w:w="7488"/>
            <w:vAlign w:val="top"/>
          </w:tcPr>
          <w:p>
            <w:pPr>
              <w:spacing w:after="40"/>
            </w:pPr>
            <w:r>
              <w:rPr>
                <w:sz w:val="20"/>
              </w:rPr>
              <w:t>Users want one window per document.</w:t>
            </w:r>
          </w:p>
        </w:tc>
      </w:tr>
    </w:tbl>
    <w:p>
      <w:pPr>
        <w:spacing w:after="40"/>
      </w:pPr>
    </w:p>
    <w:p>
      <w:pPr>
        <w:pStyle w:val="Heading1"/>
      </w:pPr>
      <w:r>
        <w:t>8. Risks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20"/>
        <w:gridCol w:w="2448"/>
        <w:gridCol w:w="1152"/>
        <w:gridCol w:w="1008"/>
        <w:gridCol w:w="2880"/>
        <w:gridCol w:w="1152"/>
      </w:tblGrid>
      <w:tr>
        <w:trPr>
          <w:tblHeader w:val="true"/>
        </w:trPr>
        <w:tc>
          <w:tcPr>
            <w:tcW w:type="dxa" w:w="720"/>
            <w:shd w:val="clear" w:color="auto" w:fill="D9E2F3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448"/>
            <w:shd w:val="clear" w:color="auto" w:fill="D9E2F3"/>
          </w:tcPr>
          <w:p>
            <w:r/>
            <w:r>
              <w:rPr>
                <w:b/>
                <w:sz w:val="18"/>
              </w:rPr>
              <w:t>Risk</w:t>
            </w:r>
          </w:p>
        </w:tc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8"/>
              </w:rPr>
              <w:t>Likelihood</w:t>
            </w:r>
          </w:p>
        </w:tc>
        <w:tc>
          <w:tcPr>
            <w:tcW w:type="dxa" w:w="1008"/>
            <w:shd w:val="clear" w:color="auto" w:fill="D9E2F3"/>
          </w:tcPr>
          <w:p>
            <w:r/>
            <w:r>
              <w:rPr>
                <w:b/>
                <w:sz w:val="18"/>
              </w:rPr>
              <w:t>Impact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Mitigation</w:t>
            </w:r>
          </w:p>
        </w:tc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8"/>
              </w:rPr>
              <w:t>Owner</w:t>
            </w:r>
          </w:p>
        </w:tc>
      </w:tr>
      <w:tr>
        <w:tc>
          <w:tcPr>
            <w:tcW w:type="dxa" w:w="720"/>
            <w:vAlign w:val="top"/>
          </w:tcPr>
          <w:p>
            <w:pPr>
              <w:spacing w:after="40"/>
            </w:pPr>
            <w:r>
              <w:rPr>
                <w:sz w:val="18"/>
              </w:rPr>
              <w:t>R-01</w:t>
            </w:r>
          </w:p>
        </w:tc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mathml2omml output differs from KaTeX for some formulas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Medium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8"/>
              </w:rPr>
              <w:t>Medium</w:t>
            </w:r>
          </w:p>
        </w:tc>
        <w:tc>
          <w:tcPr>
            <w:tcW w:type="dxa" w:w="2880"/>
            <w:vAlign w:val="top"/>
          </w:tcPr>
          <w:p>
            <w:pPr>
              <w:spacing w:after="40"/>
            </w:pPr>
            <w:r>
              <w:rPr>
                <w:sz w:val="18"/>
              </w:rPr>
              <w:t>Test the SRS formula samples in Word early; the image fallback covers failures (FR-56)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Developer</w:t>
            </w:r>
          </w:p>
        </w:tc>
      </w:tr>
      <w:tr>
        <w:tc>
          <w:tcPr>
            <w:tcW w:type="dxa" w:w="720"/>
            <w:vAlign w:val="top"/>
          </w:tcPr>
          <w:p>
            <w:pPr>
              <w:spacing w:after="40"/>
            </w:pPr>
            <w:r>
              <w:rPr>
                <w:sz w:val="18"/>
              </w:rPr>
              <w:t>R-02</w:t>
            </w:r>
          </w:p>
        </w:tc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LGPL terms for mathml2omml inside the MSIX are not met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Low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8"/>
              </w:rPr>
              <w:t>High</w:t>
            </w:r>
          </w:p>
        </w:tc>
        <w:tc>
          <w:tcPr>
            <w:tcW w:type="dxa" w:w="2880"/>
            <w:vAlign w:val="top"/>
          </w:tcPr>
          <w:p>
            <w:pPr>
              <w:spacing w:after="40"/>
            </w:pPr>
            <w:r>
              <w:rPr>
                <w:sz w:val="18"/>
              </w:rPr>
              <w:t>Ship it unbundled as its own module, with source link and license text (NFR-29); check the LGPL text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Developer</w:t>
            </w:r>
          </w:p>
        </w:tc>
      </w:tr>
      <w:tr>
        <w:tc>
          <w:tcPr>
            <w:tcW w:type="dxa" w:w="720"/>
            <w:vAlign w:val="top"/>
          </w:tcPr>
          <w:p>
            <w:pPr>
              <w:spacing w:after="40"/>
            </w:pPr>
            <w:r>
              <w:rPr>
                <w:sz w:val="18"/>
              </w:rPr>
              <w:t>R-03</w:t>
            </w:r>
          </w:p>
        </w:tc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Column rows split across pages differently on screen and in PDF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High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8"/>
              </w:rPr>
              <w:t>Medium</w:t>
            </w:r>
          </w:p>
        </w:tc>
        <w:tc>
          <w:tcPr>
            <w:tcW w:type="dxa" w:w="2880"/>
            <w:vAlign w:val="top"/>
          </w:tcPr>
          <w:p>
            <w:pPr>
              <w:spacing w:after="40"/>
            </w:pPr>
            <w:r>
              <w:rPr>
                <w:sz w:val="18"/>
              </w:rPr>
              <w:t>One layout module used by Pages view and print; PDF compare tests (FR-74)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Developer</w:t>
            </w:r>
          </w:p>
        </w:tc>
      </w:tr>
      <w:tr>
        <w:tc>
          <w:tcPr>
            <w:tcW w:type="dxa" w:w="720"/>
            <w:vAlign w:val="top"/>
          </w:tcPr>
          <w:p>
            <w:pPr>
              <w:spacing w:after="40"/>
            </w:pPr>
            <w:r>
              <w:rPr>
                <w:sz w:val="18"/>
              </w:rPr>
              <w:t>R-04</w:t>
            </w:r>
          </w:p>
        </w:tc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Store certification is delayed near release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Medium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8"/>
              </w:rPr>
              <w:t>High</w:t>
            </w:r>
          </w:p>
        </w:tc>
        <w:tc>
          <w:tcPr>
            <w:tcW w:type="dxa" w:w="2880"/>
            <w:vAlign w:val="top"/>
          </w:tcPr>
          <w:p>
            <w:pPr>
              <w:spacing w:after="40"/>
            </w:pPr>
            <w:r>
              <w:rPr>
                <w:sz w:val="18"/>
              </w:rPr>
              <w:t>Submit a private test build one month before release (NFR-31)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Developer</w:t>
            </w:r>
          </w:p>
        </w:tc>
      </w:tr>
      <w:tr>
        <w:tc>
          <w:tcPr>
            <w:tcW w:type="dxa" w:w="720"/>
            <w:vAlign w:val="top"/>
          </w:tcPr>
          <w:p>
            <w:pPr>
              <w:spacing w:after="40"/>
            </w:pPr>
            <w:r>
              <w:rPr>
                <w:sz w:val="18"/>
              </w:rPr>
              <w:t>R-05</w:t>
            </w:r>
          </w:p>
        </w:tc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Some LibreOffice fonts are not OFL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Medium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8"/>
              </w:rPr>
              <w:t>Medium</w:t>
            </w:r>
          </w:p>
        </w:tc>
        <w:tc>
          <w:tcPr>
            <w:tcW w:type="dxa" w:w="2880"/>
            <w:vAlign w:val="top"/>
          </w:tcPr>
          <w:p>
            <w:pPr>
              <w:spacing w:after="40"/>
            </w:pPr>
            <w:r>
              <w:rPr>
                <w:sz w:val="18"/>
              </w:rPr>
              <w:t>Check each license file before bundling; drop any font that does not fit (OD-08)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Developer</w:t>
            </w:r>
          </w:p>
        </w:tc>
      </w:tr>
      <w:tr>
        <w:tc>
          <w:tcPr>
            <w:tcW w:type="dxa" w:w="720"/>
            <w:vAlign w:val="top"/>
          </w:tcPr>
          <w:p>
            <w:pPr>
              <w:spacing w:after="40"/>
            </w:pPr>
            <w:r>
              <w:rPr>
                <w:sz w:val="18"/>
              </w:rPr>
              <w:t>R-06</w:t>
            </w:r>
          </w:p>
        </w:tc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MSIX file activation or file writes behave differently than expected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Medium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8"/>
              </w:rPr>
              <w:t>Medium</w:t>
            </w:r>
          </w:p>
        </w:tc>
        <w:tc>
          <w:tcPr>
            <w:tcW w:type="dxa" w:w="2880"/>
            <w:vAlign w:val="top"/>
          </w:tcPr>
          <w:p>
            <w:pPr>
              <w:spacing w:after="40"/>
            </w:pPr>
            <w:r>
              <w:rPr>
                <w:sz w:val="18"/>
              </w:rPr>
              <w:t>Spikes S-01 and S-02 in a packaged build before the file features are built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Developer</w:t>
            </w:r>
          </w:p>
        </w:tc>
      </w:tr>
      <w:tr>
        <w:tc>
          <w:tcPr>
            <w:tcW w:type="dxa" w:w="720"/>
            <w:vAlign w:val="top"/>
          </w:tcPr>
          <w:p>
            <w:pPr>
              <w:spacing w:after="40"/>
            </w:pPr>
            <w:r>
              <w:rPr>
                <w:sz w:val="18"/>
              </w:rPr>
              <w:t>R-07</w:t>
            </w:r>
          </w:p>
        </w:tc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Antivirus or indexers lock the target during replace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Medium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8"/>
              </w:rPr>
              <w:t>Medium</w:t>
            </w:r>
          </w:p>
        </w:tc>
        <w:tc>
          <w:tcPr>
            <w:tcW w:type="dxa" w:w="2880"/>
            <w:vAlign w:val="top"/>
          </w:tcPr>
          <w:p>
            <w:pPr>
              <w:spacing w:after="40"/>
            </w:pPr>
            <w:r>
              <w:rPr>
                <w:sz w:val="18"/>
              </w:rPr>
              <w:t>Retry 3 times at 100 ms, then report; never leave a partial file (NFR-10)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Developer</w:t>
            </w:r>
          </w:p>
        </w:tc>
      </w:tr>
    </w:tbl>
    <w:p>
      <w:pPr>
        <w:spacing w:after="40"/>
      </w:pPr>
    </w:p>
    <w:p>
      <w:pPr>
        <w:pStyle w:val="Heading1"/>
      </w:pPr>
      <w:r>
        <w:t>9. Technology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2304"/>
        <w:gridCol w:w="1440"/>
        <w:gridCol w:w="2448"/>
        <w:gridCol w:w="1728"/>
      </w:tblGrid>
      <w:tr>
        <w:trPr>
          <w:tblHeader w:val="true"/>
        </w:trPr>
        <w:tc>
          <w:tcPr>
            <w:tcW w:type="dxa" w:w="1440"/>
            <w:shd w:val="clear" w:color="auto" w:fill="D9E2F3"/>
          </w:tcPr>
          <w:p>
            <w:r/>
            <w:r>
              <w:rPr>
                <w:b/>
                <w:sz w:val="18"/>
              </w:rPr>
              <w:t>Layer</w:t>
            </w:r>
          </w:p>
        </w:tc>
        <w:tc>
          <w:tcPr>
            <w:tcW w:type="dxa" w:w="2304"/>
            <w:shd w:val="clear" w:color="auto" w:fill="D9E2F3"/>
          </w:tcPr>
          <w:p>
            <w:r/>
            <w:r>
              <w:rPr>
                <w:b/>
                <w:sz w:val="18"/>
              </w:rPr>
              <w:t>Technology</w:t>
            </w:r>
          </w:p>
        </w:tc>
        <w:tc>
          <w:tcPr>
            <w:tcW w:type="dxa" w:w="1440"/>
            <w:shd w:val="clear" w:color="auto" w:fill="D9E2F3"/>
          </w:tcPr>
          <w:p>
            <w:r/>
            <w:r>
              <w:rPr>
                <w:b/>
                <w:sz w:val="18"/>
              </w:rPr>
              <w:t>Version</w:t>
            </w:r>
          </w:p>
        </w:tc>
        <w:tc>
          <w:tcPr>
            <w:tcW w:type="dxa" w:w="2448"/>
            <w:shd w:val="clear" w:color="auto" w:fill="D9E2F3"/>
          </w:tcPr>
          <w:p>
            <w:r/>
            <w:r>
              <w:rPr>
                <w:b/>
                <w:sz w:val="18"/>
              </w:rPr>
              <w:t>Why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License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Desktop runtime</w:t>
            </w:r>
          </w:p>
        </w:tc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8"/>
              </w:rPr>
              <w:t>Electron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UNVERIFIED (45 or later)</w:t>
            </w:r>
          </w:p>
        </w:tc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Chromium layout and printToPDF; one codebase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MIT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Interface</w:t>
            </w:r>
          </w:p>
        </w:tc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8"/>
              </w:rPr>
              <w:t>React, TypeScript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UNVERIFIED</w:t>
            </w:r>
          </w:p>
        </w:tc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Common and typed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MIT; Apache-2.0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 core</w:t>
            </w:r>
          </w:p>
        </w:tc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8"/>
              </w:rPr>
              <w:t>ProseMirror-based library (proposal)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UNVERIFIED</w:t>
            </w:r>
          </w:p>
        </w:tc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Schema, undo, input rules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MIT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Math</w:t>
            </w:r>
          </w:p>
        </w:tc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8"/>
              </w:rPr>
              <w:t>KaTeX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UNVERIFIED</w:t>
            </w:r>
          </w:p>
        </w:tc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Fast, offline, MathML output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MIT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Word math</w:t>
            </w:r>
          </w:p>
        </w:tc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8"/>
              </w:rPr>
              <w:t>mathml2omml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0.5.0 (npm)</w:t>
            </w:r>
          </w:p>
        </w:tc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MathML to OMML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LGPL-3.0-or-later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Word file</w:t>
            </w:r>
          </w:p>
        </w:tc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8"/>
              </w:rPr>
              <w:t>A .docx writer library (proposal)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UNVERIFIED</w:t>
            </w:r>
          </w:p>
        </w:tc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Builds .docx under Node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UNVERIFIED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PDF and print</w:t>
            </w:r>
          </w:p>
        </w:tc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8"/>
              </w:rPr>
              <w:t>Electron printToPDF and print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With Electron</w:t>
            </w:r>
          </w:p>
        </w:tc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Same layout as the screen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MIT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Diagram</w:t>
            </w:r>
          </w:p>
        </w:tc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8"/>
              </w:rPr>
              <w:t>Mermaid (proposal)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UNVERIFIED</w:t>
            </w:r>
          </w:p>
        </w:tc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Text diagrams, offline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MIT (UNVERIFIED)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ZIP</w:t>
            </w:r>
          </w:p>
        </w:tc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8"/>
              </w:rPr>
              <w:t>A ZIP library for Node (proposal)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UNVERIFIED</w:t>
            </w:r>
          </w:p>
        </w:tc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Reads and writes .obk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UNVERIFIED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Tests</w:t>
            </w:r>
          </w:p>
        </w:tc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8"/>
              </w:rPr>
              <w:t>A Node test runner with coverage (proposal)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UNVERIFIED</w:t>
            </w:r>
          </w:p>
        </w:tc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NFR-21, NFR-23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UNVERIFIED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Packaging</w:t>
            </w:r>
          </w:p>
        </w:tc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8"/>
              </w:rPr>
              <w:t>MSIX tooling for Electron (proposal)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UNVERIFIED</w:t>
            </w:r>
          </w:p>
        </w:tc>
        <w:tc>
          <w:tcPr>
            <w:tcW w:type="dxa" w:w="2448"/>
            <w:vAlign w:val="top"/>
          </w:tcPr>
          <w:p>
            <w:pPr>
              <w:spacing w:after="40"/>
            </w:pPr>
            <w:r>
              <w:rPr>
                <w:sz w:val="18"/>
              </w:rPr>
              <w:t>Store package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UNVERIFIED</w:t>
            </w:r>
          </w:p>
        </w:tc>
      </w:tr>
    </w:tbl>
    <w:p>
      <w:pPr>
        <w:spacing w:after="40"/>
      </w:pPr>
    </w:p>
    <w:p>
      <w:r>
        <w:rPr>
          <w:b/>
          <w:color w:val="B00000"/>
        </w:rPr>
        <w:t xml:space="preserve">UNVERIFIED: </w:t>
      </w:r>
      <w:r>
        <w:t>Versions and the licenses marked UNVERIFIED. Fix them after the spikes below, from each project's package page.</w:t>
      </w:r>
    </w:p>
    <w:p>
      <w:pPr>
        <w:pStyle w:val="Heading2"/>
      </w:pPr>
      <w:r>
        <w:t>9.1 Spikes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6336"/>
        <w:gridCol w:w="2160"/>
      </w:tblGrid>
      <w:tr>
        <w:trPr>
          <w:tblHeader w:val="true"/>
        </w:trPr>
        <w:tc>
          <w:tcPr>
            <w:tcW w:type="dxa" w:w="864"/>
            <w:shd w:val="clear" w:color="auto" w:fill="D9E2F3"/>
          </w:tcPr>
          <w:p>
            <w:r/>
            <w:r>
              <w:rPr>
                <w:b/>
                <w:sz w:val="19"/>
              </w:rPr>
              <w:t>Spike</w:t>
            </w:r>
          </w:p>
        </w:tc>
        <w:tc>
          <w:tcPr>
            <w:tcW w:type="dxa" w:w="6336"/>
            <w:shd w:val="clear" w:color="auto" w:fill="D9E2F3"/>
          </w:tcPr>
          <w:p>
            <w:r/>
            <w:r>
              <w:rPr>
                <w:b/>
                <w:sz w:val="19"/>
              </w:rPr>
              <w:t>Question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9"/>
              </w:rPr>
              <w:t>Settles</w:t>
            </w:r>
          </w:p>
        </w:tc>
      </w:tr>
      <w:tr>
        <w:tc>
          <w:tcPr>
            <w:tcW w:type="dxa" w:w="864"/>
            <w:vAlign w:val="top"/>
          </w:tcPr>
          <w:p>
            <w:pPr>
              <w:spacing w:after="40"/>
            </w:pPr>
            <w:r>
              <w:rPr>
                <w:sz w:val="19"/>
              </w:rPr>
              <w:t>S-01</w:t>
            </w:r>
          </w:p>
        </w:tc>
        <w:tc>
          <w:tcPr>
            <w:tcW w:type="dxa" w:w="6336"/>
            <w:vAlign w:val="top"/>
          </w:tcPr>
          <w:p>
            <w:pPr>
              <w:spacing w:after="40"/>
            </w:pPr>
            <w:r>
              <w:rPr>
                <w:sz w:val="19"/>
              </w:rPr>
              <w:t>In a packaged MSIX build, save to Documents and confirm the write is not redirected and the rename replaces the file in one step.</w:t>
            </w:r>
          </w:p>
        </w:tc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R-06, R-07</w:t>
            </w:r>
          </w:p>
        </w:tc>
      </w:tr>
      <w:tr>
        <w:tc>
          <w:tcPr>
            <w:tcW w:type="dxa" w:w="864"/>
            <w:vAlign w:val="top"/>
          </w:tcPr>
          <w:p>
            <w:pPr>
              <w:spacing w:after="40"/>
            </w:pPr>
            <w:r>
              <w:rPr>
                <w:sz w:val="19"/>
              </w:rPr>
              <w:t>S-02</w:t>
            </w:r>
          </w:p>
        </w:tc>
        <w:tc>
          <w:tcPr>
            <w:tcW w:type="dxa" w:w="6336"/>
            <w:vAlign w:val="top"/>
          </w:tcPr>
          <w:p>
            <w:pPr>
              <w:spacing w:after="40"/>
            </w:pPr>
            <w:r>
              <w:rPr>
                <w:sz w:val="19"/>
              </w:rPr>
              <w:t>Double-click an .obk file with Obelisk running; confirm the path arrives through the second-instance event.</w:t>
            </w:r>
          </w:p>
        </w:tc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R-06</w:t>
            </w:r>
          </w:p>
        </w:tc>
      </w:tr>
      <w:tr>
        <w:tc>
          <w:tcPr>
            <w:tcW w:type="dxa" w:w="864"/>
            <w:vAlign w:val="top"/>
          </w:tcPr>
          <w:p>
            <w:pPr>
              <w:spacing w:after="40"/>
            </w:pPr>
            <w:r>
              <w:rPr>
                <w:sz w:val="19"/>
              </w:rPr>
              <w:t>S-03</w:t>
            </w:r>
          </w:p>
        </w:tc>
        <w:tc>
          <w:tcPr>
            <w:tcW w:type="dxa" w:w="6336"/>
            <w:vAlign w:val="top"/>
          </w:tcPr>
          <w:p>
            <w:pPr>
              <w:spacing w:after="40"/>
            </w:pPr>
            <w:r>
              <w:rPr>
                <w:sz w:val="19"/>
              </w:rPr>
              <w:t>Convert the SRS formula samples with mathml2omml and open them in Word.</w:t>
            </w:r>
          </w:p>
        </w:tc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R-01</w:t>
            </w:r>
          </w:p>
        </w:tc>
      </w:tr>
      <w:tr>
        <w:tc>
          <w:tcPr>
            <w:tcW w:type="dxa" w:w="864"/>
            <w:vAlign w:val="top"/>
          </w:tcPr>
          <w:p>
            <w:pPr>
              <w:spacing w:after="40"/>
            </w:pPr>
            <w:r>
              <w:rPr>
                <w:sz w:val="19"/>
              </w:rPr>
              <w:t>S-04</w:t>
            </w:r>
          </w:p>
        </w:tc>
        <w:tc>
          <w:tcPr>
            <w:tcW w:type="dxa" w:w="6336"/>
            <w:vAlign w:val="top"/>
          </w:tcPr>
          <w:p>
            <w:pPr>
              <w:spacing w:after="40"/>
            </w:pPr>
            <w:r>
              <w:rPr>
                <w:sz w:val="19"/>
              </w:rPr>
              <w:t>Render a Mermaid flowchart in a sandboxed renderer with the network off.</w:t>
            </w:r>
          </w:p>
        </w:tc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OD-05</w:t>
            </w:r>
          </w:p>
        </w:tc>
      </w:tr>
      <w:tr>
        <w:tc>
          <w:tcPr>
            <w:tcW w:type="dxa" w:w="864"/>
            <w:vAlign w:val="top"/>
          </w:tcPr>
          <w:p>
            <w:pPr>
              <w:spacing w:after="40"/>
            </w:pPr>
            <w:r>
              <w:rPr>
                <w:sz w:val="19"/>
              </w:rPr>
              <w:t>S-05</w:t>
            </w:r>
          </w:p>
        </w:tc>
        <w:tc>
          <w:tcPr>
            <w:tcW w:type="dxa" w:w="6336"/>
            <w:vAlign w:val="top"/>
          </w:tcPr>
          <w:p>
            <w:pPr>
              <w:spacing w:after="40"/>
            </w:pPr>
            <w:r>
              <w:rPr>
                <w:sz w:val="19"/>
              </w:rPr>
              <w:t>Confirm whether the Windows Save dialog asks before replacing a file, as Electron sets it.</w:t>
            </w:r>
          </w:p>
        </w:tc>
        <w:tc>
          <w:tcPr>
            <w:tcW w:type="dxa" w:w="2160"/>
            <w:vAlign w:val="top"/>
          </w:tcPr>
          <w:p>
            <w:pPr>
              <w:spacing w:after="40"/>
            </w:pPr>
            <w:r>
              <w:rPr>
                <w:sz w:val="19"/>
              </w:rPr>
              <w:t>FR-12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10. Traceability</w:t>
      </w:r>
    </w:p>
    <w:p>
      <w:r>
        <w:t>Every Must FR maps to at least one component. Package-wide requirements map to the build and release process.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152"/>
        <w:gridCol w:w="3456"/>
        <w:gridCol w:w="1728"/>
        <w:gridCol w:w="1584"/>
      </w:tblGrid>
      <w:tr>
        <w:trPr>
          <w:tblHeader w:val="true"/>
        </w:trPr>
        <w:tc>
          <w:tcPr>
            <w:tcW w:type="dxa" w:w="1440"/>
            <w:shd w:val="clear" w:color="auto" w:fill="D9E2F3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3456"/>
            <w:shd w:val="clear" w:color="auto" w:fill="D9E2F3"/>
          </w:tcPr>
          <w:p>
            <w:r/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b/>
                <w:sz w:val="18"/>
              </w:rPr>
              <w:t>ADR</w:t>
            </w:r>
          </w:p>
        </w:tc>
        <w:tc>
          <w:tcPr>
            <w:tcW w:type="dxa" w:w="1584"/>
            <w:shd w:val="clear" w:color="auto" w:fill="D9E2F3"/>
          </w:tcPr>
          <w:p>
            <w:r/>
            <w:r>
              <w:rPr>
                <w:b/>
                <w:sz w:val="18"/>
              </w:rPr>
              <w:t>Verification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FR-01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Shell and Tabs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Demo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FR-02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Shell and Tabs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Inspection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FR-03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Shell and Tabs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FR-04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Shell and Tabs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FR-05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Shell and Tabs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Inspection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FR-06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PreferencesStore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FR-07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Shell and Tabs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FR-08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FileService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FR-09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FormatCodec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FR-10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FileService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FR-11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FileService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Demo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FR-12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FileService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FR-13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FileService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FR-14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AutosaveService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ADR-002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FR-15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AutosaveService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ADR-002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FR-16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Shell and Tabs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FR-17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FormatCodec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ADR-003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FR-18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FileService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ADR-009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Demo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FR-19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RecoveryService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ADR-009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Inspection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FR-20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Shell and Tabs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FR-21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RecoveryService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ADR-009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Inspection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FR-22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FR-23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Shell and Tabs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FR-24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FR-25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FR-26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FR-27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Inspection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FR-28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FR-29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FR-30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FR-31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Demo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FR-32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ADR-004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FR-33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Demo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FR-34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FR-35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ADR-004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FR-36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ClipboardBridge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FR-37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ADR-004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FR-38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FR-39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ClipboardBridge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FR-40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FR-41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ClipboardBridge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FR-42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FR-43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FR-44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Inspection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FR-45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FR-46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FR-47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FR-48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FR-49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ADR-003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FR-50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FR-51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FR-52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Inspection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FR-53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FormulaRenderer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ADR-005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FR-54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FormulaRenderer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Demo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FR-55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FormulaRenderer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FR-56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ExportService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ADR-005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FR-57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ExportService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ADR-005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FR-58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FR-59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FR-60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FR-61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ExportService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Demo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FR-62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ExportService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FR-63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ExportService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FR-64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ExportService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FR-65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ExportService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FR-66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ExportService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FR-67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FR-68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FR-69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FR-70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FR-71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FR-72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FR-73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FR-74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ADR-004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FR-75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FR-76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FR-77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ExportService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Inspection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FR-78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FR-79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SignatureStore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FR-80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Inspection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FR-81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ExportService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FR-82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FR-83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BlockViews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NFR-01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Build and release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NFR-02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EditorCore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ADR-004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NFR-03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FileService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ADR-001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NFR-04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ExportService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NFR-05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Build and release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Analysis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NFR-06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ClipboardBridge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ADR-001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NFR-07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FormatCodec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ADR-001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NFR-08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SignatureStore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ADR-007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Inspection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NFR-09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SignatureStore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ADR-007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NFR-10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FileService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ADR-002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NFR-11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FileService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NFR-12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FileService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NFR-13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AutosaveService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NFR-14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FileService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ADR-002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NFR-15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Shell and Tabs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NFR-16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Shell and Tabs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NFR-17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Shell and Tabs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Analysis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NFR-18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Shell and Tabs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Inspection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NFR-19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Shell and Tabs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Inspection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NFR-20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Shell and Tabs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Demo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NFR-21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FormatCodec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ADR-002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Inspection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NFR-22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IPC bridge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ADR-001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Inspection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NFR-23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Should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Build and release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Analysis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NFR-24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Build and release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ADR-008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NFR-25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Build and release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NFR-26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PreferencesStore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Inspection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NFR-27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Build and release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ADR-008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Test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NFR-28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Build and release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Inspection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NFR-29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Build and release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ADR-005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Inspection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NFR-30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Build and release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Inspection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8"/>
              </w:rPr>
              <w:t>NFR-31</w:t>
            </w:r>
          </w:p>
        </w:tc>
        <w:tc>
          <w:tcPr>
            <w:tcW w:type="dxa" w:w="1152"/>
            <w:vAlign w:val="top"/>
          </w:tcPr>
          <w:p>
            <w:pPr>
              <w:spacing w:after="40"/>
            </w:pPr>
            <w:r>
              <w:rPr>
                <w:sz w:val="18"/>
              </w:rPr>
              <w:t>Must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8"/>
              </w:rPr>
              <w:t>Build and release</w:t>
            </w:r>
          </w:p>
        </w:tc>
        <w:tc>
          <w:tcPr>
            <w:tcW w:type="dxa" w:w="1728"/>
            <w:vAlign w:val="top"/>
          </w:tcPr>
          <w:p>
            <w:pPr>
              <w:spacing w:after="40"/>
            </w:pPr>
            <w:r>
              <w:rPr>
                <w:sz w:val="18"/>
              </w:rPr>
              <w:t>ADR-008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8"/>
              </w:rPr>
              <w:t>Demo</w:t>
            </w:r>
          </w:p>
        </w:tc>
      </w:tr>
    </w:tbl>
    <w:p>
      <w:pPr>
        <w:spacing w:after="40"/>
      </w:pPr>
    </w:p>
    <w:p>
      <w:pPr>
        <w:pStyle w:val="Heading2"/>
      </w:pPr>
      <w:r>
        <w:t>10.1 Quality scenarios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08"/>
        <w:gridCol w:w="3312"/>
        <w:gridCol w:w="1872"/>
        <w:gridCol w:w="3168"/>
      </w:tblGrid>
      <w:tr>
        <w:trPr>
          <w:tblHeader w:val="true"/>
        </w:trPr>
        <w:tc>
          <w:tcPr>
            <w:tcW w:type="dxa" w:w="1008"/>
            <w:shd w:val="clear" w:color="auto" w:fill="D9E2F3"/>
          </w:tcPr>
          <w:p>
            <w:r/>
            <w:r>
              <w:rPr>
                <w:b/>
                <w:sz w:val="19"/>
              </w:rPr>
              <w:t>QS</w:t>
            </w:r>
          </w:p>
        </w:tc>
        <w:tc>
          <w:tcPr>
            <w:tcW w:type="dxa" w:w="3312"/>
            <w:shd w:val="clear" w:color="auto" w:fill="D9E2F3"/>
          </w:tcPr>
          <w:p>
            <w:r/>
            <w:r>
              <w:rPr>
                <w:b/>
                <w:sz w:val="19"/>
              </w:rPr>
              <w:t>Component</w:t>
            </w:r>
          </w:p>
        </w:tc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19"/>
              </w:rPr>
              <w:t>View</w:t>
            </w:r>
          </w:p>
        </w:tc>
        <w:tc>
          <w:tcPr>
            <w:tcW w:type="dxa" w:w="3168"/>
            <w:shd w:val="clear" w:color="auto" w:fill="D9E2F3"/>
          </w:tcPr>
          <w:p>
            <w:r/>
            <w:r>
              <w:rPr>
                <w:b/>
                <w:sz w:val="19"/>
              </w:rPr>
              <w:t>Verification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9"/>
              </w:rPr>
              <w:t>QS-01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9"/>
              </w:rPr>
              <w:t>EditorCore, FormulaRenderer</w:t>
            </w:r>
          </w:p>
        </w:tc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19"/>
              </w:rPr>
              <w:t>Figure 2</w:t>
            </w:r>
          </w:p>
        </w:tc>
        <w:tc>
          <w:tcPr>
            <w:tcW w:type="dxa" w:w="3168"/>
            <w:vAlign w:val="top"/>
          </w:tcPr>
          <w:p>
            <w:pPr>
              <w:spacing w:after="40"/>
            </w:pPr>
            <w:r>
              <w:rPr>
                <w:sz w:val="19"/>
              </w:rPr>
              <w:t>Test: input-latency trace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9"/>
              </w:rPr>
              <w:t>QS-02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9"/>
              </w:rPr>
              <w:t>FileService</w:t>
            </w:r>
          </w:p>
        </w:tc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19"/>
              </w:rPr>
              <w:t>Figures 2, 3</w:t>
            </w:r>
          </w:p>
        </w:tc>
        <w:tc>
          <w:tcPr>
            <w:tcW w:type="dxa" w:w="3168"/>
            <w:vAlign w:val="top"/>
          </w:tcPr>
          <w:p>
            <w:pPr>
              <w:spacing w:after="40"/>
            </w:pPr>
            <w:r>
              <w:rPr>
                <w:sz w:val="19"/>
              </w:rPr>
              <w:t>Test: kill during save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9"/>
              </w:rPr>
              <w:t>QS-03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9"/>
              </w:rPr>
              <w:t>FormatCodec, ClipboardBridge</w:t>
            </w:r>
          </w:p>
        </w:tc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19"/>
              </w:rPr>
              <w:t>Figure 2</w:t>
            </w:r>
          </w:p>
        </w:tc>
        <w:tc>
          <w:tcPr>
            <w:tcW w:type="dxa" w:w="3168"/>
            <w:vAlign w:val="top"/>
          </w:tcPr>
          <w:p>
            <w:pPr>
              <w:spacing w:after="40"/>
            </w:pPr>
            <w:r>
              <w:rPr>
                <w:sz w:val="19"/>
              </w:rPr>
              <w:t>Test: hostile sample set under Node and in the app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9"/>
              </w:rPr>
              <w:t>QS-04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9"/>
              </w:rPr>
              <w:t>AutosaveService, FileService</w:t>
            </w:r>
          </w:p>
        </w:tc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19"/>
              </w:rPr>
              <w:t>Figure 2</w:t>
            </w:r>
          </w:p>
        </w:tc>
        <w:tc>
          <w:tcPr>
            <w:tcW w:type="dxa" w:w="3168"/>
            <w:vAlign w:val="top"/>
          </w:tcPr>
          <w:p>
            <w:pPr>
              <w:spacing w:after="40"/>
            </w:pPr>
            <w:r>
              <w:rPr>
                <w:sz w:val="19"/>
              </w:rPr>
              <w:t>Test: change the file in Notepad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9"/>
              </w:rPr>
              <w:t>QS-05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9"/>
              </w:rPr>
              <w:t>ExportService</w:t>
            </w:r>
          </w:p>
        </w:tc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19"/>
              </w:rPr>
              <w:t>Figure 2</w:t>
            </w:r>
          </w:p>
        </w:tc>
        <w:tc>
          <w:tcPr>
            <w:tcW w:type="dxa" w:w="3168"/>
            <w:vAlign w:val="top"/>
          </w:tcPr>
          <w:p>
            <w:pPr>
              <w:spacing w:after="40"/>
            </w:pPr>
            <w:r>
              <w:rPr>
                <w:sz w:val="19"/>
              </w:rPr>
              <w:t>Test: open in Word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9"/>
              </w:rPr>
              <w:t>QS-06</w:t>
            </w:r>
          </w:p>
        </w:tc>
        <w:tc>
          <w:tcPr>
            <w:tcW w:type="dxa" w:w="3312"/>
            <w:vAlign w:val="top"/>
          </w:tcPr>
          <w:p>
            <w:pPr>
              <w:spacing w:after="40"/>
            </w:pPr>
            <w:r>
              <w:rPr>
                <w:sz w:val="19"/>
              </w:rPr>
              <w:t>SignatureStore</w:t>
            </w:r>
          </w:p>
        </w:tc>
        <w:tc>
          <w:tcPr>
            <w:tcW w:type="dxa" w:w="1872"/>
            <w:vAlign w:val="top"/>
          </w:tcPr>
          <w:p>
            <w:pPr>
              <w:spacing w:after="40"/>
            </w:pPr>
            <w:r>
              <w:rPr>
                <w:sz w:val="19"/>
              </w:rPr>
              <w:t>Figure 2</w:t>
            </w:r>
          </w:p>
        </w:tc>
        <w:tc>
          <w:tcPr>
            <w:tcW w:type="dxa" w:w="3168"/>
            <w:vAlign w:val="top"/>
          </w:tcPr>
          <w:p>
            <w:pPr>
              <w:spacing w:after="40"/>
            </w:pPr>
            <w:r>
              <w:rPr>
                <w:sz w:val="19"/>
              </w:rPr>
              <w:t>Inspection: read the file as another user</w:t>
            </w:r>
          </w:p>
        </w:tc>
      </w:tr>
    </w:tbl>
    <w:p>
      <w:pPr>
        <w:spacing w:after="40"/>
      </w:pPr>
    </w:p>
    <w:p>
      <w:pPr>
        <w:pStyle w:val="Heading1"/>
      </w:pPr>
      <w:r>
        <w:t>11. Open decisions</w:t>
      </w:r>
    </w:p>
    <w:p>
      <w:r>
        <w:t>These SRS open decisions affect the architecture. IDs match the SRS.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3456"/>
        <w:gridCol w:w="3456"/>
        <w:gridCol w:w="1584"/>
      </w:tblGrid>
      <w:tr>
        <w:trPr>
          <w:tblHeader w:val="true"/>
        </w:trPr>
        <w:tc>
          <w:tcPr>
            <w:tcW w:type="dxa" w:w="864"/>
            <w:shd w:val="clear" w:color="auto" w:fill="D9E2F3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3456"/>
            <w:shd w:val="clear" w:color="auto" w:fill="D9E2F3"/>
          </w:tcPr>
          <w:p>
            <w:r/>
            <w:r>
              <w:rPr>
                <w:b/>
                <w:sz w:val="19"/>
              </w:rPr>
              <w:t>Question</w:t>
            </w:r>
          </w:p>
        </w:tc>
        <w:tc>
          <w:tcPr>
            <w:tcW w:type="dxa" w:w="3456"/>
            <w:shd w:val="clear" w:color="auto" w:fill="D9E2F3"/>
          </w:tcPr>
          <w:p>
            <w:r/>
            <w:r>
              <w:rPr>
                <w:b/>
                <w:sz w:val="19"/>
              </w:rPr>
              <w:t>Proposed default</w:t>
            </w:r>
          </w:p>
        </w:tc>
        <w:tc>
          <w:tcPr>
            <w:tcW w:type="dxa" w:w="1584"/>
            <w:shd w:val="clear" w:color="auto" w:fill="D9E2F3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864"/>
            <w:vAlign w:val="top"/>
          </w:tcPr>
          <w:p>
            <w:pPr>
              <w:spacing w:after="40"/>
            </w:pPr>
            <w:r>
              <w:rPr>
                <w:sz w:val="19"/>
              </w:rPr>
              <w:t>OD-02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File extension and format version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.obk, format 1, after checking it is not widely used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864"/>
            <w:vAlign w:val="top"/>
          </w:tcPr>
          <w:p>
            <w:pPr>
              <w:spacing w:after="40"/>
            </w:pPr>
            <w:r>
              <w:rPr>
                <w:sz w:val="19"/>
              </w:rPr>
              <w:t>OD-03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Autosave interval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Within 30 s of the last edit, as a target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864"/>
            <w:vAlign w:val="top"/>
          </w:tcPr>
          <w:p>
            <w:pPr>
              <w:spacing w:after="40"/>
            </w:pPr>
            <w:r>
              <w:rPr>
                <w:sz w:val="19"/>
              </w:rPr>
              <w:t>OD-05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Diagram engine and syntax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Mermaid, bundled, offline; license to verify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864"/>
            <w:vAlign w:val="top"/>
          </w:tcPr>
          <w:p>
            <w:pPr>
              <w:spacing w:after="40"/>
            </w:pPr>
            <w:r>
              <w:rPr>
                <w:sz w:val="19"/>
              </w:rPr>
              <w:t>OD-08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Exact bundled fonts and licenses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LibreOffice Latin set plus Dancing Script, each license checked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864"/>
            <w:vAlign w:val="top"/>
          </w:tcPr>
          <w:p>
            <w:pPr>
              <w:spacing w:after="40"/>
            </w:pPr>
            <w:r>
              <w:rPr>
                <w:sz w:val="19"/>
              </w:rPr>
              <w:t>OD-11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Supported Windows versions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Windows 11 and Windows 10 22H2, x64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864"/>
            <w:vAlign w:val="top"/>
          </w:tcPr>
          <w:p>
            <w:pPr>
              <w:spacing w:after="40"/>
            </w:pPr>
            <w:r>
              <w:rPr>
                <w:sz w:val="19"/>
              </w:rPr>
              <w:t>OD-07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Crash safety for never-saved tabs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Should: recovery copy every 30 s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9"/>
              </w:rPr>
              <w:t>Decided 2026-10-23</w:t>
            </w:r>
          </w:p>
        </w:tc>
      </w:tr>
      <w:tr>
        <w:tc>
          <w:tcPr>
            <w:tcW w:type="dxa" w:w="864"/>
            <w:vAlign w:val="top"/>
          </w:tcPr>
          <w:p>
            <w:pPr>
              <w:spacing w:after="40"/>
            </w:pPr>
            <w:r>
              <w:rPr>
                <w:sz w:val="19"/>
              </w:rPr>
              <w:t>OD-12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Open from File Explorer</w:t>
            </w:r>
          </w:p>
        </w:tc>
        <w:tc>
          <w:tcPr>
            <w:tcW w:type="dxa" w:w="3456"/>
            <w:vAlign w:val="top"/>
          </w:tcPr>
          <w:p>
            <w:pPr>
              <w:spacing w:after="40"/>
            </w:pPr>
            <w:r>
              <w:rPr>
                <w:sz w:val="19"/>
              </w:rPr>
              <w:t>Should: one window, new tab per file</w:t>
            </w:r>
          </w:p>
        </w:tc>
        <w:tc>
          <w:tcPr>
            <w:tcW w:type="dxa" w:w="1584"/>
            <w:vAlign w:val="top"/>
          </w:tcPr>
          <w:p>
            <w:pPr>
              <w:spacing w:after="40"/>
            </w:pPr>
            <w:r>
              <w:rPr>
                <w:sz w:val="19"/>
              </w:rPr>
              <w:t>Decided 2026-10-23</w:t>
            </w:r>
          </w:p>
        </w:tc>
      </w:tr>
    </w:tbl>
    <w:p>
      <w:pPr>
        <w:spacing w:after="40"/>
      </w:pPr>
    </w:p>
    <w:p>
      <w:pPr>
        <w:pStyle w:val="Heading1"/>
      </w:pPr>
      <w:r>
        <w:t>12. Maintenance and references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04"/>
        <w:gridCol w:w="7056"/>
      </w:tblGrid>
      <w:tr>
        <w:trPr>
          <w:tblHeader w:val="true"/>
        </w:trPr>
        <w:tc>
          <w:tcPr>
            <w:tcW w:type="dxa" w:w="2304"/>
            <w:shd w:val="clear" w:color="auto" w:fill="D9E2F3"/>
          </w:tcPr>
          <w:p>
            <w:r/>
            <w:r>
              <w:rPr>
                <w:b/>
                <w:sz w:val="19"/>
              </w:rPr>
              <w:t>Item</w:t>
            </w:r>
          </w:p>
        </w:tc>
        <w:tc>
          <w:tcPr>
            <w:tcW w:type="dxa" w:w="7056"/>
            <w:shd w:val="clear" w:color="auto" w:fill="D9E2F3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9"/>
              </w:rPr>
              <w:t>Author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9"/>
              </w:rPr>
              <w:t>Filliciano Plong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9"/>
              </w:rPr>
              <w:t>Version and date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9"/>
              </w:rPr>
              <w:t>1.0, October 23, 2026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9"/>
              </w:rPr>
              <w:t>Update when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9"/>
              </w:rPr>
              <w:t>An ADR changes status, a component is added or renamed, or a spike changes a decision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40"/>
            </w:pPr>
            <w:r>
              <w:rPr>
                <w:sz w:val="19"/>
              </w:rPr>
              <w:t>Diagram sources</w:t>
            </w:r>
          </w:p>
        </w:tc>
        <w:tc>
          <w:tcPr>
            <w:tcW w:type="dxa" w:w="7056"/>
            <w:vAlign w:val="top"/>
          </w:tcPr>
          <w:p>
            <w:pPr>
              <w:spacing w:after="40"/>
            </w:pPr>
            <w:r>
              <w:rPr>
                <w:sz w:val="19"/>
              </w:rPr>
              <w:t>docs/diagrams/*.puml, rendered to docs/images/; shipped in Plong_Obelisk_DiagramSources.zip</w:t>
            </w:r>
          </w:p>
        </w:tc>
      </w:tr>
    </w:tbl>
    <w:p>
      <w:pPr>
        <w:spacing w:after="40"/>
      </w:pPr>
    </w:p>
    <w:p>
      <w:pPr>
        <w:pStyle w:val="Heading2"/>
      </w:pPr>
      <w:r>
        <w:t>12.1 References</w:t>
      </w:r>
    </w:p>
    <w:p>
      <w:pPr>
        <w:pStyle w:val="ListBullet"/>
        <w:spacing w:after="60"/>
      </w:pPr>
      <w:r>
        <w:t>Obelisk SRS (Plong_Obelisk_SRS.docx), version 1.0.</w:t>
      </w:r>
    </w:p>
    <w:p>
      <w:pPr>
        <w:pStyle w:val="ListBullet"/>
        <w:spacing w:after="60"/>
      </w:pPr>
      <w:r>
        <w:t>arc42 template: arc42.org. C4 model: c4model.com.</w:t>
      </w:r>
    </w:p>
    <w:p>
      <w:pPr>
        <w:pStyle w:val="ListBullet"/>
        <w:spacing w:after="60"/>
      </w:pPr>
      <w:r>
        <w:t>Electron security checklist: electronjs.org/docs/latest/tutorial/security.</w:t>
      </w:r>
    </w:p>
    <w:p>
      <w:pPr>
        <w:pStyle w:val="ListBullet"/>
        <w:spacing w:after="60"/>
      </w:pPr>
      <w:r>
        <w:t>Electron safeStorage: electronjs.org/docs/latest/api/safe-storage.</w:t>
      </w:r>
    </w:p>
    <w:p>
      <w:pPr>
        <w:pStyle w:val="ListBullet"/>
        <w:spacing w:after="60"/>
      </w:pPr>
      <w:r>
        <w:t>Electron app.requestSingleInstanceLock: electronjs.org/docs/latest/api/app.</w:t>
      </w:r>
    </w:p>
    <w:p>
      <w:pPr>
        <w:pStyle w:val="ListBullet"/>
        <w:spacing w:after="60"/>
      </w:pPr>
      <w:r>
        <w:t>MSIX file system behavior: learn.microsoft.com/windows/msix/desktop/desktop-to-uwp-behind-the-scenes.</w:t>
      </w:r>
    </w:p>
    <w:p>
      <w:pPr>
        <w:pStyle w:val="ListBullet"/>
        <w:spacing w:after="60"/>
      </w:pPr>
      <w:r>
        <w:t>mathml2omml: npmjs.com/package/mathml2omml.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Obelisk Architecture and Design</dc:title>
  <dc:subject/>
  <dc:creator>Filliciano Plong</dc:creator>
  <cp:keywords/>
  <dc:description/>
  <cp:lastModifiedBy>Filliciano Plong</cp:lastModifiedBy>
  <cp:revision>1</cp:revision>
  <dcterms:created xsi:type="dcterms:W3CDTF">2026-10-23T22:52:09Z</dcterms:created>
  <dcterms:modified xsi:type="dcterms:W3CDTF">2026-10-23T22:52:09Z</dcterms:modified>
  <cp:category/>
</cp:coreProperties>
</file>