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Architecture and Design</w:t>
      </w:r>
    </w:p>
    <w:p>
      <w:pPr>
        <w:jc w:val="center"/>
      </w:pPr>
      <w:r>
        <w:rPr>
          <w:b/>
          <w:sz w:val="40"/>
        </w:rPr>
        <w:t>OTCP</w:t>
      </w:r>
    </w:p>
    <w:p/>
    <w:p>
      <w:pPr>
        <w:jc w:val="center"/>
      </w:pPr>
      <w:r>
        <w:rPr>
          <w:b/>
        </w:rPr>
        <w:t xml:space="preserve">Prepared by: </w:t>
      </w:r>
      <w:r>
        <w:t>Filliciano Plong</w:t>
      </w:r>
    </w:p>
    <w:p>
      <w:pPr>
        <w:jc w:val="center"/>
      </w:pPr>
      <w:r>
        <w:rPr>
          <w:b/>
        </w:rPr>
        <w:t xml:space="preserve">Date: </w:t>
      </w:r>
      <w:r>
        <w:t>October 27, 2026</w:t>
      </w:r>
    </w:p>
    <w:p>
      <w:pPr>
        <w:jc w:val="center"/>
      </w:pPr>
      <w:r>
        <w:rPr>
          <w:b/>
        </w:rPr>
        <w:t xml:space="preserve">Version: </w:t>
      </w:r>
      <w:r>
        <w:t>1.0</w:t>
      </w:r>
    </w:p>
    <w:p/>
    <w:p>
      <w:pPr>
        <w:jc w:val="center"/>
      </w:pPr>
      <w:r>
        <w:rPr>
          <w:b/>
        </w:rPr>
        <w:t xml:space="preserve">Readers: </w:t>
      </w:r>
      <w:r>
        <w:t>Filliciano Plong, developer and tester of OTCP. Status: Approved 2026-10-27. Helps decide module boundaries, the data pipeline, and the auth path before code grows.</w:t>
      </w:r>
    </w:p>
    <w:p>
      <w:pPr>
        <w:pStyle w:val="Heading1"/>
        <w:pageBreakBefore/>
      </w:pPr>
      <w:r>
        <w:t>Contents</w:t>
      </w:r>
    </w:p>
    <w:p>
      <w:pPr>
        <w:tabs>
          <w:tab w:pos="9360" w:val="right" w:leader="dot"/>
        </w:tabs>
        <w:spacing w:after="40"/>
      </w:pPr>
      <w:r>
        <w:t>Revision history</w:t>
      </w:r>
      <w:r>
        <w:tab/>
      </w:r>
    </w:p>
    <w:p>
      <w:pPr>
        <w:tabs>
          <w:tab w:pos="9360" w:val="right" w:leader="dot"/>
        </w:tabs>
        <w:spacing w:after="40"/>
      </w:pPr>
      <w:r>
        <w:t>1. Context and scope</w:t>
      </w:r>
      <w:r>
        <w:tab/>
      </w:r>
    </w:p>
    <w:p>
      <w:pPr>
        <w:tabs>
          <w:tab w:pos="9360" w:val="right" w:leader="dot"/>
        </w:tabs>
        <w:spacing w:after="40"/>
      </w:pPr>
      <w:r>
        <w:t>2. Goals and constraints</w:t>
      </w:r>
      <w:r>
        <w:tab/>
      </w:r>
    </w:p>
    <w:p>
      <w:pPr>
        <w:tabs>
          <w:tab w:pos="9360" w:val="right" w:leader="dot"/>
        </w:tabs>
        <w:spacing w:after="40"/>
      </w:pPr>
      <w:r>
        <w:t>3. Quality-attribute scenarios</w:t>
      </w:r>
      <w:r>
        <w:tab/>
      </w:r>
    </w:p>
    <w:p>
      <w:pPr>
        <w:tabs>
          <w:tab w:pos="9360" w:val="right" w:leader="dot"/>
        </w:tabs>
        <w:spacing w:after="40"/>
      </w:pPr>
      <w:r>
        <w:t>4. Architectural style</w:t>
      </w:r>
      <w:r>
        <w:tab/>
      </w:r>
    </w:p>
    <w:p>
      <w:pPr>
        <w:tabs>
          <w:tab w:pos="9360" w:val="right" w:leader="dot"/>
        </w:tabs>
        <w:spacing w:after="40"/>
      </w:pPr>
      <w:r>
        <w:t>5. Architecture views</w:t>
      </w:r>
      <w:r>
        <w:tab/>
      </w:r>
    </w:p>
    <w:p>
      <w:pPr>
        <w:tabs>
          <w:tab w:pos="9360" w:val="right" w:leader="dot"/>
        </w:tabs>
        <w:spacing w:after="40"/>
      </w:pPr>
      <w:r>
        <w:t>6. Behavior and contract</w:t>
      </w:r>
      <w:r>
        <w:tab/>
      </w:r>
    </w:p>
    <w:p>
      <w:pPr>
        <w:tabs>
          <w:tab w:pos="9360" w:val="right" w:leader="dot"/>
        </w:tabs>
        <w:spacing w:after="40"/>
      </w:pPr>
      <w:r>
        <w:t>7. Architecture decisions</w:t>
      </w:r>
      <w:r>
        <w:tab/>
      </w:r>
    </w:p>
    <w:p>
      <w:pPr>
        <w:tabs>
          <w:tab w:pos="9360" w:val="right" w:leader="dot"/>
        </w:tabs>
        <w:spacing w:after="40"/>
      </w:pPr>
      <w:r>
        <w:t>8. Risks</w:t>
      </w:r>
      <w:r>
        <w:tab/>
      </w:r>
    </w:p>
    <w:p>
      <w:pPr>
        <w:tabs>
          <w:tab w:pos="9360" w:val="right" w:leader="dot"/>
        </w:tabs>
        <w:spacing w:after="40"/>
      </w:pPr>
      <w:r>
        <w:t>9. Technology stack</w:t>
      </w:r>
      <w:r>
        <w:tab/>
      </w:r>
    </w:p>
    <w:p>
      <w:pPr>
        <w:tabs>
          <w:tab w:pos="9360" w:val="right" w:leader="dot"/>
        </w:tabs>
        <w:spacing w:after="40"/>
      </w:pPr>
      <w:r>
        <w:t>10. Traceability</w:t>
      </w:r>
      <w:r>
        <w:tab/>
      </w:r>
    </w:p>
    <w:p>
      <w:pPr>
        <w:tabs>
          <w:tab w:pos="9360" w:val="right" w:leader="dot"/>
        </w:tabs>
        <w:spacing w:after="40"/>
      </w:pPr>
      <w:r>
        <w:t>11. Open decisions</w:t>
      </w:r>
      <w:r>
        <w:tab/>
      </w:r>
    </w:p>
    <w:p>
      <w:pPr>
        <w:tabs>
          <w:tab w:pos="9360" w:val="right" w:leader="dot"/>
        </w:tabs>
        <w:spacing w:after="40"/>
      </w:pPr>
      <w:r>
        <w:t>12. Maintenance and references</w:t>
      </w:r>
      <w:r>
        <w:tab/>
      </w:r>
    </w:p>
    <w:p>
      <w:pPr>
        <w:pStyle w:val="Heading1"/>
      </w:pPr>
      <w:r>
        <w:t>Revision history</w:t>
      </w:r>
    </w:p>
    <w:tbl>
      <w:tblPr>
        <w:tblStyle w:val="TableGrid"/>
        <w:tblW w:type="auto" w:w="0"/>
        <w:tblLayout w:type="fixed"/>
        <w:tblLook w:firstColumn="1" w:firstRow="1" w:lastColumn="0" w:lastRow="0" w:noHBand="0" w:noVBand="1" w:val="04A0"/>
      </w:tblPr>
      <w:tblGrid>
        <w:gridCol w:w="1440"/>
        <w:gridCol w:w="2304"/>
        <w:gridCol w:w="5616"/>
      </w:tblGrid>
      <w:tr>
        <w:trPr>
          <w:tblHeader w:val="true"/>
        </w:trPr>
        <w:tc>
          <w:tcPr>
            <w:tcW w:type="dxa" w:w="1440"/>
            <w:shd w:val="clear" w:color="auto" w:fill="D9E2F3"/>
          </w:tcPr>
          <w:p>
            <w:r/>
            <w:r>
              <w:rPr>
                <w:b/>
                <w:sz w:val="19"/>
              </w:rPr>
              <w:t>Version</w:t>
            </w:r>
          </w:p>
        </w:tc>
        <w:tc>
          <w:tcPr>
            <w:tcW w:type="dxa" w:w="2304"/>
            <w:shd w:val="clear" w:color="auto" w:fill="D9E2F3"/>
          </w:tcPr>
          <w:p>
            <w:r/>
            <w:r>
              <w:rPr>
                <w:b/>
                <w:sz w:val="19"/>
              </w:rPr>
              <w:t>Date</w:t>
            </w:r>
          </w:p>
        </w:tc>
        <w:tc>
          <w:tcPr>
            <w:tcW w:type="dxa" w:w="5616"/>
            <w:shd w:val="clear" w:color="auto" w:fill="D9E2F3"/>
          </w:tcPr>
          <w:p>
            <w:r/>
            <w:r>
              <w:rPr>
                <w:b/>
                <w:sz w:val="19"/>
              </w:rPr>
              <w:t>Changes</w:t>
            </w:r>
          </w:p>
        </w:tc>
      </w:tr>
      <w:tr>
        <w:tc>
          <w:tcPr>
            <w:tcW w:type="dxa" w:w="1440"/>
            <w:vAlign w:val="top"/>
          </w:tcPr>
          <w:p>
            <w:pPr>
              <w:spacing w:after="40"/>
            </w:pPr>
            <w:r>
              <w:rPr>
                <w:sz w:val="19"/>
              </w:rPr>
              <w:t>1.0</w:t>
            </w:r>
          </w:p>
        </w:tc>
        <w:tc>
          <w:tcPr>
            <w:tcW w:type="dxa" w:w="2304"/>
            <w:vAlign w:val="top"/>
          </w:tcPr>
          <w:p>
            <w:pPr>
              <w:spacing w:after="40"/>
            </w:pPr>
            <w:r>
              <w:rPr>
                <w:sz w:val="19"/>
              </w:rPr>
              <w:t>October 27, 2026</w:t>
            </w:r>
          </w:p>
        </w:tc>
        <w:tc>
          <w:tcPr>
            <w:tcW w:type="dxa" w:w="5616"/>
            <w:vAlign w:val="top"/>
          </w:tcPr>
          <w:p>
            <w:pPr>
              <w:spacing w:after="40"/>
            </w:pPr>
            <w:r>
              <w:rPr>
                <w:sz w:val="19"/>
              </w:rPr>
              <w:t>Approved by Filliciano Plong. First release of the architecture. Based on approved SRS 1.0.</w:t>
            </w:r>
          </w:p>
        </w:tc>
      </w:tr>
    </w:tbl>
    <w:p>
      <w:pPr>
        <w:spacing w:after="40"/>
      </w:pPr>
    </w:p>
    <w:p>
      <w:r>
        <w:rPr>
          <w:b/>
        </w:rPr>
        <w:t>Status:</w:t>
      </w:r>
      <w:r>
        <w:t xml:space="preserve"> Approved 2026-10-27 by Filliciano Plong. Based on approved SRS 1.0.</w:t>
      </w:r>
    </w:p>
    <w:p>
      <w:pPr>
        <w:pStyle w:val="Heading1"/>
        <w:pageBreakBefore/>
      </w:pPr>
      <w:r>
        <w:t>1. Context and scope</w:t>
      </w:r>
    </w:p>
    <w:p>
      <w:r>
        <w:t>This document shows how OTCP will meet its approved SRS. It cites requirement IDs from the SRS (Plong_OTCP_SRS.docx, version 1.0) instead of repeating them.</w:t>
      </w:r>
    </w:p>
    <w:p>
      <w:r>
        <w:t>Architecture 1.0 is approved. Technology versions marked UNVERIFIED stay open until the spikes in section 9 confirm them.</w:t>
      </w:r>
    </w:p>
    <w:p>
      <w:pPr>
        <w:pStyle w:val="Heading2"/>
      </w:pPr>
      <w:r>
        <w:t>1.1 Actors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Actor</w:t>
            </w:r>
          </w:p>
        </w:tc>
        <w:tc>
          <w:tcPr>
            <w:tcW w:type="dxa" w:w="7056"/>
            <w:shd w:val="clear" w:color="auto" w:fill="D9E2F3"/>
          </w:tcPr>
          <w:p>
            <w:r/>
            <w:r>
              <w:rPr>
                <w:b/>
                <w:sz w:val="19"/>
              </w:rPr>
              <w:t>Role</w:t>
            </w:r>
          </w:p>
        </w:tc>
      </w:tr>
      <w:tr>
        <w:tc>
          <w:tcPr>
            <w:tcW w:type="dxa" w:w="2304"/>
            <w:vAlign w:val="top"/>
          </w:tcPr>
          <w:p>
            <w:pPr>
              <w:spacing w:after="40"/>
            </w:pPr>
            <w:r>
              <w:rPr>
                <w:sz w:val="19"/>
              </w:rPr>
              <w:t>Guest</w:t>
            </w:r>
          </w:p>
        </w:tc>
        <w:tc>
          <w:tcPr>
            <w:tcW w:type="dxa" w:w="7056"/>
            <w:vAlign w:val="top"/>
          </w:tcPr>
          <w:p>
            <w:pPr>
              <w:spacing w:after="40"/>
            </w:pPr>
            <w:r>
              <w:rPr>
                <w:sz w:val="19"/>
              </w:rPr>
              <w:t>Browses cards, builds and exports decks in the browser without an account.</w:t>
            </w:r>
          </w:p>
        </w:tc>
      </w:tr>
      <w:tr>
        <w:tc>
          <w:tcPr>
            <w:tcW w:type="dxa" w:w="2304"/>
            <w:vAlign w:val="top"/>
          </w:tcPr>
          <w:p>
            <w:pPr>
              <w:spacing w:after="40"/>
            </w:pPr>
            <w:r>
              <w:rPr>
                <w:sz w:val="19"/>
              </w:rPr>
              <w:t>Signed-in user</w:t>
            </w:r>
          </w:p>
        </w:tc>
        <w:tc>
          <w:tcPr>
            <w:tcW w:type="dxa" w:w="7056"/>
            <w:vAlign w:val="top"/>
          </w:tcPr>
          <w:p>
            <w:pPr>
              <w:spacing w:after="40"/>
            </w:pPr>
            <w:r>
              <w:rPr>
                <w:sz w:val="19"/>
              </w:rPr>
              <w:t>Saves decks, creates and revokes share links, deletes the account.</w:t>
            </w:r>
          </w:p>
        </w:tc>
      </w:tr>
      <w:tr>
        <w:tc>
          <w:tcPr>
            <w:tcW w:type="dxa" w:w="2304"/>
            <w:vAlign w:val="top"/>
          </w:tcPr>
          <w:p>
            <w:pPr>
              <w:spacing w:after="40"/>
            </w:pPr>
            <w:r>
              <w:rPr>
                <w:sz w:val="19"/>
              </w:rPr>
              <w:t>Owner (Filliciano)</w:t>
            </w:r>
          </w:p>
        </w:tc>
        <w:tc>
          <w:tcPr>
            <w:tcW w:type="dxa" w:w="7056"/>
            <w:vAlign w:val="top"/>
          </w:tcPr>
          <w:p>
            <w:pPr>
              <w:spacing w:after="40"/>
            </w:pPr>
            <w:r>
              <w:rPr>
                <w:sz w:val="19"/>
              </w:rPr>
              <w:t>Runs the refresh workflow, curates formats and overrides, ships pages.</w:t>
            </w:r>
          </w:p>
        </w:tc>
      </w:tr>
      <w:tr>
        <w:tc>
          <w:tcPr>
            <w:tcW w:type="dxa" w:w="2304"/>
            <w:vAlign w:val="top"/>
          </w:tcPr>
          <w:p>
            <w:pPr>
              <w:spacing w:after="40"/>
            </w:pPr>
            <w:r>
              <w:rPr>
                <w:sz w:val="19"/>
              </w:rPr>
              <w:t>GitHub Pages</w:t>
            </w:r>
          </w:p>
        </w:tc>
        <w:tc>
          <w:tcPr>
            <w:tcW w:type="dxa" w:w="7056"/>
            <w:vAlign w:val="top"/>
          </w:tcPr>
          <w:p>
            <w:pPr>
              <w:spacing w:after="40"/>
            </w:pPr>
            <w:r>
              <w:rPr>
                <w:sz w:val="19"/>
              </w:rPr>
              <w:t>Hosts the static UI and published card/image assets under /otcp/.</w:t>
            </w:r>
          </w:p>
        </w:tc>
      </w:tr>
      <w:tr>
        <w:tc>
          <w:tcPr>
            <w:tcW w:type="dxa" w:w="2304"/>
            <w:vAlign w:val="top"/>
          </w:tcPr>
          <w:p>
            <w:pPr>
              <w:spacing w:after="40"/>
            </w:pPr>
            <w:r>
              <w:rPr>
                <w:sz w:val="19"/>
              </w:rPr>
              <w:t>Supabase</w:t>
            </w:r>
          </w:p>
        </w:tc>
        <w:tc>
          <w:tcPr>
            <w:tcW w:type="dxa" w:w="7056"/>
            <w:vAlign w:val="top"/>
          </w:tcPr>
          <w:p>
            <w:pPr>
              <w:spacing w:after="40"/>
            </w:pPr>
            <w:r>
              <w:rPr>
                <w:sz w:val="19"/>
              </w:rPr>
              <w:t>Auth (email/password and Google) and persisted decks for signed-in users.</w:t>
            </w:r>
          </w:p>
        </w:tc>
      </w:tr>
      <w:tr>
        <w:tc>
          <w:tcPr>
            <w:tcW w:type="dxa" w:w="2304"/>
            <w:vAlign w:val="top"/>
          </w:tcPr>
          <w:p>
            <w:pPr>
              <w:spacing w:after="40"/>
            </w:pPr>
            <w:r>
              <w:rPr>
                <w:sz w:val="19"/>
              </w:rPr>
              <w:t>YGOPRODeck</w:t>
            </w:r>
          </w:p>
        </w:tc>
        <w:tc>
          <w:tcPr>
            <w:tcW w:type="dxa" w:w="7056"/>
            <w:vAlign w:val="top"/>
          </w:tcPr>
          <w:p>
            <w:pPr>
              <w:spacing w:after="40"/>
            </w:pPr>
            <w:r>
              <w:rPr>
                <w:sz w:val="19"/>
              </w:rPr>
              <w:t>Upstream card, price, and Genesys point data ingested at build time only.</w:t>
            </w:r>
          </w:p>
        </w:tc>
      </w:tr>
      <w:tr>
        <w:tc>
          <w:tcPr>
            <w:tcW w:type="dxa" w:w="2304"/>
            <w:vAlign w:val="top"/>
          </w:tcPr>
          <w:p>
            <w:pPr>
              <w:spacing w:after="40"/>
            </w:pPr>
            <w:r>
              <w:rPr>
                <w:sz w:val="19"/>
              </w:rPr>
              <w:t>GitHub Actions</w:t>
            </w:r>
          </w:p>
        </w:tc>
        <w:tc>
          <w:tcPr>
            <w:tcW w:type="dxa" w:w="7056"/>
            <w:vAlign w:val="top"/>
          </w:tcPr>
          <w:p>
            <w:pPr>
              <w:spacing w:after="40"/>
            </w:pPr>
            <w:r>
              <w:rPr>
                <w:sz w:val="19"/>
              </w:rPr>
              <w:t>Weekly and manual data refresh with validation before publish.</w:t>
            </w:r>
          </w:p>
        </w:tc>
      </w:tr>
    </w:tbl>
    <w:p>
      <w:pPr>
        <w:spacing w:after="40"/>
      </w:pPr>
    </w:p>
    <w:p>
      <w:pPr>
        <w:pStyle w:val="Heading2"/>
      </w:pPr>
      <w:r>
        <w:t>1.2 External dependencies</w:t>
      </w:r>
    </w:p>
    <w:p>
      <w:pPr>
        <w:pStyle w:val="ListBullet"/>
        <w:spacing w:after="60"/>
      </w:pPr>
      <w:r>
        <w:t>Vite 7, React 19, TypeScript, Tailwind CSS 4 (proposal, ADR-001).</w:t>
      </w:r>
    </w:p>
    <w:p>
      <w:pPr>
        <w:pStyle w:val="ListBullet"/>
        <w:spacing w:after="60"/>
      </w:pPr>
      <w:r>
        <w:t>Vitest and Playwright (Chromium-only) for tests (ADR-001).</w:t>
      </w:r>
    </w:p>
    <w:p>
      <w:pPr>
        <w:pStyle w:val="ListBullet"/>
        <w:spacing w:after="60"/>
      </w:pPr>
      <w:r>
        <w:t>Node.js 22 pinned for local and CI builds (ADR-001).</w:t>
      </w:r>
    </w:p>
    <w:p>
      <w:pPr>
        <w:pStyle w:val="ListBullet"/>
        <w:spacing w:after="60"/>
      </w:pPr>
      <w:r>
        <w:t>Supabase free tier for auth and saved decks (ADR-006).</w:t>
      </w:r>
    </w:p>
    <w:p>
      <w:pPr>
        <w:pStyle w:val="ListBullet"/>
        <w:spacing w:after="60"/>
      </w:pPr>
      <w:r>
        <w:t>YGOPRODeck API at build time only; images re-hosted (ADR-003, NFR-05).</w:t>
      </w:r>
    </w:p>
    <w:p>
      <w:pPr>
        <w:pStyle w:val="ListBullet"/>
        <w:spacing w:after="60"/>
      </w:pPr>
      <w:r>
        <w:t>Konami public banlist and Genesys pages for spot-checks (ADR-005, ADR-004).</w:t>
      </w:r>
    </w:p>
    <w:p>
      <w:pPr>
        <w:pStyle w:val="Heading2"/>
      </w:pPr>
      <w:r>
        <w:t>1.3 Included and excluded</w:t>
      </w:r>
    </w:p>
    <w:p>
      <w:r>
        <w:rPr>
          <w:b/>
        </w:rPr>
        <w:t xml:space="preserve">Included: </w:t>
      </w:r>
      <w:r>
        <w:t>SRS sections 6 and 7: every FR and NFR, Must and Should.</w:t>
      </w:r>
    </w:p>
    <w:p>
      <w:r>
        <w:rPr>
          <w:b/>
        </w:rPr>
        <w:t xml:space="preserve">Excluded: </w:t>
      </w:r>
      <w:r>
        <w:t>The SRS out-of-scope list (section 2.2) and Future features (section 13).</w:t>
      </w:r>
    </w:p>
    <w:p>
      <w:pPr>
        <w:pStyle w:val="Heading1"/>
      </w:pPr>
      <w:r>
        <w:t>2. Goals and constraints</w:t>
      </w:r>
    </w:p>
    <w:p>
      <w:pPr>
        <w:pStyle w:val="Heading2"/>
      </w:pPr>
      <w:r>
        <w:t>2.1 Top quality goals</w:t>
      </w:r>
    </w:p>
    <w:tbl>
      <w:tblPr>
        <w:tblStyle w:val="TableGrid"/>
        <w:tblW w:type="auto" w:w="0"/>
        <w:tblLayout w:type="fixed"/>
        <w:tblLook w:firstColumn="1" w:firstRow="1" w:lastColumn="0" w:lastRow="0" w:noHBand="0" w:noVBand="1" w:val="04A0"/>
      </w:tblPr>
      <w:tblGrid>
        <w:gridCol w:w="864"/>
        <w:gridCol w:w="4032"/>
        <w:gridCol w:w="4464"/>
      </w:tblGrid>
      <w:tr>
        <w:trPr>
          <w:tblHeader w:val="true"/>
        </w:trPr>
        <w:tc>
          <w:tcPr>
            <w:tcW w:type="dxa" w:w="864"/>
            <w:shd w:val="clear" w:color="auto" w:fill="D9E2F3"/>
          </w:tcPr>
          <w:p>
            <w:r/>
            <w:r>
              <w:rPr>
                <w:b/>
                <w:sz w:val="19"/>
              </w:rPr>
              <w:t>Rank</w:t>
            </w:r>
          </w:p>
        </w:tc>
        <w:tc>
          <w:tcPr>
            <w:tcW w:type="dxa" w:w="4032"/>
            <w:shd w:val="clear" w:color="auto" w:fill="D9E2F3"/>
          </w:tcPr>
          <w:p>
            <w:r/>
            <w:r>
              <w:rPr>
                <w:b/>
                <w:sz w:val="19"/>
              </w:rPr>
              <w:t>Goal</w:t>
            </w:r>
          </w:p>
        </w:tc>
        <w:tc>
          <w:tcPr>
            <w:tcW w:type="dxa" w:w="4464"/>
            <w:shd w:val="clear" w:color="auto" w:fill="D9E2F3"/>
          </w:tcPr>
          <w:p>
            <w:r/>
            <w:r>
              <w:rPr>
                <w:b/>
                <w:sz w:val="19"/>
              </w:rPr>
              <w:t>Requirements</w:t>
            </w:r>
          </w:p>
        </w:tc>
      </w:tr>
      <w:tr>
        <w:tc>
          <w:tcPr>
            <w:tcW w:type="dxa" w:w="864"/>
            <w:vAlign w:val="top"/>
          </w:tcPr>
          <w:p>
            <w:pPr>
              <w:spacing w:after="40"/>
            </w:pPr>
            <w:r>
              <w:rPr>
                <w:sz w:val="19"/>
              </w:rPr>
              <w:t>1</w:t>
            </w:r>
          </w:p>
        </w:tc>
        <w:tc>
          <w:tcPr>
            <w:tcW w:type="dxa" w:w="4032"/>
            <w:vAlign w:val="top"/>
          </w:tcPr>
          <w:p>
            <w:pPr>
              <w:spacing w:after="40"/>
            </w:pPr>
            <w:r>
              <w:rPr>
                <w:sz w:val="19"/>
              </w:rPr>
              <w:t>Fast mid-game card search on a phone</w:t>
            </w:r>
          </w:p>
        </w:tc>
        <w:tc>
          <w:tcPr>
            <w:tcW w:type="dxa" w:w="4464"/>
            <w:vAlign w:val="top"/>
          </w:tcPr>
          <w:p>
            <w:pPr>
              <w:spacing w:after="40"/>
            </w:pPr>
            <w:r>
              <w:rPr>
                <w:sz w:val="19"/>
              </w:rPr>
              <w:t>NFR-01, NFR-02, ADR-009</w:t>
            </w:r>
          </w:p>
        </w:tc>
      </w:tr>
      <w:tr>
        <w:tc>
          <w:tcPr>
            <w:tcW w:type="dxa" w:w="864"/>
            <w:vAlign w:val="top"/>
          </w:tcPr>
          <w:p>
            <w:pPr>
              <w:spacing w:after="40"/>
            </w:pPr>
            <w:r>
              <w:rPr>
                <w:sz w:val="19"/>
              </w:rPr>
              <w:t>2</w:t>
            </w:r>
          </w:p>
        </w:tc>
        <w:tc>
          <w:tcPr>
            <w:tcW w:type="dxa" w:w="4032"/>
            <w:vAlign w:val="top"/>
          </w:tcPr>
          <w:p>
            <w:pPr>
              <w:spacing w:after="40"/>
            </w:pPr>
            <w:r>
              <w:rPr>
                <w:sz w:val="19"/>
              </w:rPr>
              <w:t>Trusted formats and ban status without live scrape</w:t>
            </w:r>
          </w:p>
        </w:tc>
        <w:tc>
          <w:tcPr>
            <w:tcW w:type="dxa" w:w="4464"/>
            <w:vAlign w:val="top"/>
          </w:tcPr>
          <w:p>
            <w:pPr>
              <w:spacing w:after="40"/>
            </w:pPr>
            <w:r>
              <w:rPr>
                <w:sz w:val="19"/>
              </w:rPr>
              <w:t>FR-12, FR-14, ADR-004</w:t>
            </w:r>
          </w:p>
        </w:tc>
      </w:tr>
      <w:tr>
        <w:tc>
          <w:tcPr>
            <w:tcW w:type="dxa" w:w="864"/>
            <w:vAlign w:val="top"/>
          </w:tcPr>
          <w:p>
            <w:pPr>
              <w:spacing w:after="40"/>
            </w:pPr>
            <w:r>
              <w:rPr>
                <w:sz w:val="19"/>
              </w:rPr>
              <w:t>3</w:t>
            </w:r>
          </w:p>
        </w:tc>
        <w:tc>
          <w:tcPr>
            <w:tcW w:type="dxa" w:w="4032"/>
            <w:vAlign w:val="top"/>
          </w:tcPr>
          <w:p>
            <w:pPr>
              <w:spacing w:after="40"/>
            </w:pPr>
            <w:r>
              <w:rPr>
                <w:sz w:val="19"/>
              </w:rPr>
              <w:t>Safe accounts and share links on free tier</w:t>
            </w:r>
          </w:p>
        </w:tc>
        <w:tc>
          <w:tcPr>
            <w:tcW w:type="dxa" w:w="4464"/>
            <w:vAlign w:val="top"/>
          </w:tcPr>
          <w:p>
            <w:pPr>
              <w:spacing w:after="40"/>
            </w:pPr>
            <w:r>
              <w:rPr>
                <w:sz w:val="19"/>
              </w:rPr>
              <w:t>NFR-04, NFR-07, ADR-006, ADR-007</w:t>
            </w:r>
          </w:p>
        </w:tc>
      </w:tr>
      <w:tr>
        <w:tc>
          <w:tcPr>
            <w:tcW w:type="dxa" w:w="864"/>
            <w:vAlign w:val="top"/>
          </w:tcPr>
          <w:p>
            <w:pPr>
              <w:spacing w:after="40"/>
            </w:pPr>
            <w:r>
              <w:rPr>
                <w:sz w:val="19"/>
              </w:rPr>
              <w:t>4</w:t>
            </w:r>
          </w:p>
        </w:tc>
        <w:tc>
          <w:tcPr>
            <w:tcW w:type="dxa" w:w="4032"/>
            <w:vAlign w:val="top"/>
          </w:tcPr>
          <w:p>
            <w:pPr>
              <w:spacing w:after="40"/>
            </w:pPr>
            <w:r>
              <w:rPr>
                <w:sz w:val="19"/>
              </w:rPr>
              <w:t>Refresh that never ships a broken catalog</w:t>
            </w:r>
          </w:p>
        </w:tc>
        <w:tc>
          <w:tcPr>
            <w:tcW w:type="dxa" w:w="4464"/>
            <w:vAlign w:val="top"/>
          </w:tcPr>
          <w:p>
            <w:pPr>
              <w:spacing w:after="40"/>
            </w:pPr>
            <w:r>
              <w:rPr>
                <w:sz w:val="19"/>
              </w:rPr>
              <w:t>NFR-08, ADR-003</w:t>
            </w:r>
          </w:p>
        </w:tc>
      </w:tr>
    </w:tbl>
    <w:p>
      <w:pPr>
        <w:spacing w:after="40"/>
      </w:pPr>
    </w:p>
    <w:p>
      <w:pPr>
        <w:pStyle w:val="Heading2"/>
      </w:pPr>
      <w:r>
        <w:t>2.2 Constraints</w:t>
      </w:r>
    </w:p>
    <w:tbl>
      <w:tblPr>
        <w:tblStyle w:val="TableGrid"/>
        <w:tblW w:type="auto" w:w="0"/>
        <w:tblLayout w:type="fixed"/>
        <w:tblLook w:firstColumn="1" w:firstRow="1" w:lastColumn="0" w:lastRow="0" w:noHBand="0" w:noVBand="1" w:val="04A0"/>
      </w:tblPr>
      <w:tblGrid>
        <w:gridCol w:w="6048"/>
        <w:gridCol w:w="3312"/>
      </w:tblGrid>
      <w:tr>
        <w:trPr>
          <w:tblHeader w:val="true"/>
        </w:trPr>
        <w:tc>
          <w:tcPr>
            <w:tcW w:type="dxa" w:w="6048"/>
            <w:shd w:val="clear" w:color="auto" w:fill="D9E2F3"/>
          </w:tcPr>
          <w:p>
            <w:r/>
            <w:r>
              <w:rPr>
                <w:b/>
                <w:sz w:val="19"/>
              </w:rPr>
              <w:t>Constraint</w:t>
            </w:r>
          </w:p>
        </w:tc>
        <w:tc>
          <w:tcPr>
            <w:tcW w:type="dxa" w:w="3312"/>
            <w:shd w:val="clear" w:color="auto" w:fill="D9E2F3"/>
          </w:tcPr>
          <w:p>
            <w:r/>
            <w:r>
              <w:rPr>
                <w:b/>
                <w:sz w:val="19"/>
              </w:rPr>
              <w:t>Source</w:t>
            </w:r>
          </w:p>
        </w:tc>
      </w:tr>
      <w:tr>
        <w:tc>
          <w:tcPr>
            <w:tcW w:type="dxa" w:w="6048"/>
            <w:vAlign w:val="top"/>
          </w:tcPr>
          <w:p>
            <w:pPr>
              <w:spacing w:after="40"/>
            </w:pPr>
            <w:r>
              <w:rPr>
                <w:sz w:val="19"/>
              </w:rPr>
              <w:t>Static UI on GitHub Pages under base path /otcp/</w:t>
            </w:r>
          </w:p>
        </w:tc>
        <w:tc>
          <w:tcPr>
            <w:tcW w:type="dxa" w:w="3312"/>
            <w:vAlign w:val="top"/>
          </w:tcPr>
          <w:p>
            <w:pPr>
              <w:spacing w:after="40"/>
            </w:pPr>
            <w:r>
              <w:rPr>
                <w:sz w:val="19"/>
              </w:rPr>
              <w:t>OD-09, ADR-001</w:t>
            </w:r>
          </w:p>
        </w:tc>
      </w:tr>
      <w:tr>
        <w:tc>
          <w:tcPr>
            <w:tcW w:type="dxa" w:w="6048"/>
            <w:vAlign w:val="top"/>
          </w:tcPr>
          <w:p>
            <w:pPr>
              <w:spacing w:after="40"/>
            </w:pPr>
            <w:r>
              <w:rPr>
                <w:sz w:val="19"/>
              </w:rPr>
              <w:t>No TCGplayer API; prices come through YGOPRODeck plus store deep links</w:t>
            </w:r>
          </w:p>
        </w:tc>
        <w:tc>
          <w:tcPr>
            <w:tcW w:type="dxa" w:w="3312"/>
            <w:vAlign w:val="top"/>
          </w:tcPr>
          <w:p>
            <w:pPr>
              <w:spacing w:after="40"/>
            </w:pPr>
            <w:r>
              <w:rPr>
                <w:sz w:val="19"/>
              </w:rPr>
              <w:t>OD-03, ADR-008</w:t>
            </w:r>
          </w:p>
        </w:tc>
      </w:tr>
      <w:tr>
        <w:tc>
          <w:tcPr>
            <w:tcW w:type="dxa" w:w="6048"/>
            <w:vAlign w:val="top"/>
          </w:tcPr>
          <w:p>
            <w:pPr>
              <w:spacing w:after="40"/>
            </w:pPr>
            <w:r>
              <w:rPr>
                <w:sz w:val="19"/>
              </w:rPr>
              <w:t>Yu-Gi-Oh! TCG only in the first release</w:t>
            </w:r>
          </w:p>
        </w:tc>
        <w:tc>
          <w:tcPr>
            <w:tcW w:type="dxa" w:w="3312"/>
            <w:vAlign w:val="top"/>
          </w:tcPr>
          <w:p>
            <w:pPr>
              <w:spacing w:after="40"/>
            </w:pPr>
            <w:r>
              <w:rPr>
                <w:sz w:val="19"/>
              </w:rPr>
              <w:t>FR-50</w:t>
            </w:r>
          </w:p>
        </w:tc>
      </w:tr>
      <w:tr>
        <w:tc>
          <w:tcPr>
            <w:tcW w:type="dxa" w:w="6048"/>
            <w:vAlign w:val="top"/>
          </w:tcPr>
          <w:p>
            <w:pPr>
              <w:spacing w:after="40"/>
            </w:pPr>
            <w:r>
              <w:rPr>
                <w:sz w:val="19"/>
              </w:rPr>
              <w:t>Solo developer; Shoulds cut in the SRS drop order</w:t>
            </w:r>
          </w:p>
        </w:tc>
        <w:tc>
          <w:tcPr>
            <w:tcW w:type="dxa" w:w="3312"/>
            <w:vAlign w:val="top"/>
          </w:tcPr>
          <w:p>
            <w:pPr>
              <w:spacing w:after="40"/>
            </w:pPr>
            <w:r>
              <w:rPr>
                <w:sz w:val="19"/>
              </w:rPr>
              <w:t>Project plan</w:t>
            </w:r>
          </w:p>
        </w:tc>
      </w:tr>
      <w:tr>
        <w:tc>
          <w:tcPr>
            <w:tcW w:type="dxa" w:w="6048"/>
            <w:vAlign w:val="top"/>
          </w:tcPr>
          <w:p>
            <w:pPr>
              <w:spacing w:after="40"/>
            </w:pPr>
            <w:r>
              <w:rPr>
                <w:sz w:val="19"/>
              </w:rPr>
              <w:t>Hand-curated formats; Format Library is UX reference only</w:t>
            </w:r>
          </w:p>
        </w:tc>
        <w:tc>
          <w:tcPr>
            <w:tcW w:type="dxa" w:w="3312"/>
            <w:vAlign w:val="top"/>
          </w:tcPr>
          <w:p>
            <w:pPr>
              <w:spacing w:after="40"/>
            </w:pPr>
            <w:r>
              <w:rPr>
                <w:sz w:val="19"/>
              </w:rPr>
              <w:t>OD-01, ADR-004</w:t>
            </w:r>
          </w:p>
        </w:tc>
      </w:tr>
      <w:tr>
        <w:tc>
          <w:tcPr>
            <w:tcW w:type="dxa" w:w="6048"/>
            <w:vAlign w:val="top"/>
          </w:tcPr>
          <w:p>
            <w:pPr>
              <w:spacing w:after="40"/>
            </w:pPr>
            <w:r>
              <w:rPr>
                <w:sz w:val="19"/>
              </w:rPr>
              <w:t>English interface</w:t>
            </w:r>
          </w:p>
        </w:tc>
        <w:tc>
          <w:tcPr>
            <w:tcW w:type="dxa" w:w="3312"/>
            <w:vAlign w:val="top"/>
          </w:tcPr>
          <w:p>
            <w:pPr>
              <w:spacing w:after="40"/>
            </w:pPr>
            <w:r>
              <w:rPr>
                <w:sz w:val="19"/>
              </w:rPr>
              <w:t>SRS section 5</w:t>
            </w:r>
          </w:p>
        </w:tc>
      </w:tr>
    </w:tbl>
    <w:p>
      <w:pPr>
        <w:spacing w:after="40"/>
      </w:pPr>
    </w:p>
    <w:p>
      <w:pPr>
        <w:pStyle w:val="Heading1"/>
      </w:pPr>
      <w:r>
        <w:t>3. Quality-attribute scenarios</w:t>
      </w:r>
    </w:p>
    <w:p>
      <w:r>
        <w:t>Each scenario names a stimulus and environment, the expected response, a measure, and how it is checked.</w:t>
      </w:r>
    </w:p>
    <w:tbl>
      <w:tblPr>
        <w:tblStyle w:val="TableGrid"/>
        <w:tblW w:type="auto" w:w="0"/>
        <w:tblLayout w:type="fixed"/>
        <w:tblLook w:firstColumn="1" w:firstRow="1" w:lastColumn="0" w:lastRow="0" w:noHBand="0" w:noVBand="1" w:val="04A0"/>
      </w:tblPr>
      <w:tblGrid>
        <w:gridCol w:w="720"/>
        <w:gridCol w:w="2160"/>
        <w:gridCol w:w="2160"/>
        <w:gridCol w:w="1296"/>
        <w:gridCol w:w="1224"/>
        <w:gridCol w:w="1800"/>
      </w:tblGrid>
      <w:tr>
        <w:trPr>
          <w:tblHeader w:val="true"/>
        </w:trPr>
        <w:tc>
          <w:tcPr>
            <w:tcW w:type="dxa" w:w="720"/>
            <w:shd w:val="clear" w:color="auto" w:fill="D9E2F3"/>
          </w:tcPr>
          <w:p>
            <w:r/>
            <w:r>
              <w:rPr>
                <w:b/>
                <w:sz w:val="18"/>
              </w:rPr>
              <w:t>ID</w:t>
            </w:r>
          </w:p>
        </w:tc>
        <w:tc>
          <w:tcPr>
            <w:tcW w:type="dxa" w:w="2160"/>
            <w:shd w:val="clear" w:color="auto" w:fill="D9E2F3"/>
          </w:tcPr>
          <w:p>
            <w:r/>
            <w:r>
              <w:rPr>
                <w:b/>
                <w:sz w:val="18"/>
              </w:rPr>
              <w:t>Stimulus and environment</w:t>
            </w:r>
          </w:p>
        </w:tc>
        <w:tc>
          <w:tcPr>
            <w:tcW w:type="dxa" w:w="2160"/>
            <w:shd w:val="clear" w:color="auto" w:fill="D9E2F3"/>
          </w:tcPr>
          <w:p>
            <w:r/>
            <w:r>
              <w:rPr>
                <w:b/>
                <w:sz w:val="18"/>
              </w:rPr>
              <w:t>Response and measure</w:t>
            </w:r>
          </w:p>
        </w:tc>
        <w:tc>
          <w:tcPr>
            <w:tcW w:type="dxa" w:w="1296"/>
            <w:shd w:val="clear" w:color="auto" w:fill="D9E2F3"/>
          </w:tcPr>
          <w:p>
            <w:r/>
            <w:r>
              <w:rPr>
                <w:b/>
                <w:sz w:val="18"/>
              </w:rPr>
              <w:t>Verification</w:t>
            </w:r>
          </w:p>
        </w:tc>
        <w:tc>
          <w:tcPr>
            <w:tcW w:type="dxa" w:w="1224"/>
            <w:shd w:val="clear" w:color="auto" w:fill="D9E2F3"/>
          </w:tcPr>
          <w:p>
            <w:r/>
            <w:r>
              <w:rPr>
                <w:b/>
                <w:sz w:val="18"/>
              </w:rPr>
              <w:t>IDs</w:t>
            </w:r>
          </w:p>
        </w:tc>
        <w:tc>
          <w:tcPr>
            <w:tcW w:type="dxa" w:w="1800"/>
            <w:shd w:val="clear" w:color="auto" w:fill="D9E2F3"/>
          </w:tcPr>
          <w:p>
            <w:r/>
            <w:r>
              <w:rPr>
                <w:b/>
                <w:sz w:val="18"/>
              </w:rPr>
              <w:t>Component</w:t>
            </w:r>
          </w:p>
        </w:tc>
      </w:tr>
      <w:tr>
        <w:tc>
          <w:tcPr>
            <w:tcW w:type="dxa" w:w="720"/>
            <w:vAlign w:val="top"/>
          </w:tcPr>
          <w:p>
            <w:pPr>
              <w:spacing w:after="40"/>
            </w:pPr>
            <w:r>
              <w:rPr>
                <w:sz w:val="18"/>
              </w:rPr>
              <w:t>QS-01</w:t>
            </w:r>
          </w:p>
        </w:tc>
        <w:tc>
          <w:tcPr>
            <w:tcW w:type="dxa" w:w="2160"/>
            <w:vAlign w:val="top"/>
          </w:tcPr>
          <w:p>
            <w:pPr>
              <w:spacing w:after="40"/>
            </w:pPr>
            <w:r>
              <w:rPr>
                <w:sz w:val="18"/>
              </w:rPr>
              <w:t>User types in the search box on the reference phone after the card index has loaded.</w:t>
            </w:r>
          </w:p>
        </w:tc>
        <w:tc>
          <w:tcPr>
            <w:tcW w:type="dxa" w:w="2160"/>
            <w:vAlign w:val="top"/>
          </w:tcPr>
          <w:p>
            <w:pPr>
              <w:spacing w:after="40"/>
            </w:pPr>
            <w:r>
              <w:rPr>
                <w:sz w:val="18"/>
              </w:rPr>
              <w:t>Matching results appear within 100 ms of the last keystroke (target).</w:t>
            </w:r>
          </w:p>
        </w:tc>
        <w:tc>
          <w:tcPr>
            <w:tcW w:type="dxa" w:w="1296"/>
            <w:vAlign w:val="top"/>
          </w:tcPr>
          <w:p>
            <w:pPr>
              <w:spacing w:after="40"/>
            </w:pPr>
            <w:r>
              <w:rPr>
                <w:sz w:val="18"/>
              </w:rPr>
              <w:t>Test: input-latency timing on the reference phone</w:t>
            </w:r>
          </w:p>
        </w:tc>
        <w:tc>
          <w:tcPr>
            <w:tcW w:type="dxa" w:w="1224"/>
            <w:vAlign w:val="top"/>
          </w:tcPr>
          <w:p>
            <w:pPr>
              <w:spacing w:after="40"/>
            </w:pPr>
            <w:r>
              <w:rPr>
                <w:sz w:val="18"/>
              </w:rPr>
              <w:t>FR-01, FR-02, NFR-01</w:t>
            </w:r>
          </w:p>
        </w:tc>
        <w:tc>
          <w:tcPr>
            <w:tcW w:type="dxa" w:w="1800"/>
            <w:vAlign w:val="top"/>
          </w:tcPr>
          <w:p>
            <w:pPr>
              <w:spacing w:after="40"/>
            </w:pPr>
            <w:r>
              <w:rPr>
                <w:sz w:val="18"/>
              </w:rPr>
              <w:t>SearchIndex</w:t>
            </w:r>
          </w:p>
        </w:tc>
      </w:tr>
      <w:tr>
        <w:tc>
          <w:tcPr>
            <w:tcW w:type="dxa" w:w="720"/>
            <w:vAlign w:val="top"/>
          </w:tcPr>
          <w:p>
            <w:pPr>
              <w:spacing w:after="40"/>
            </w:pPr>
            <w:r>
              <w:rPr>
                <w:sz w:val="18"/>
              </w:rPr>
              <w:t>QS-02</w:t>
            </w:r>
          </w:p>
        </w:tc>
        <w:tc>
          <w:tcPr>
            <w:tcW w:type="dxa" w:w="2160"/>
            <w:vAlign w:val="top"/>
          </w:tcPr>
          <w:p>
            <w:pPr>
              <w:spacing w:after="40"/>
            </w:pPr>
            <w:r>
              <w:rPr>
                <w:sz w:val="18"/>
              </w:rPr>
              <w:t>Cold open of /otcp/ on the reference phone on a typical mobile network.</w:t>
            </w:r>
          </w:p>
        </w:tc>
        <w:tc>
          <w:tcPr>
            <w:tcW w:type="dxa" w:w="2160"/>
            <w:vAlign w:val="top"/>
          </w:tcPr>
          <w:p>
            <w:pPr>
              <w:spacing w:after="40"/>
            </w:pPr>
            <w:r>
              <w:rPr>
                <w:sz w:val="18"/>
              </w:rPr>
              <w:t>Home experience interactive within 2 s (target).</w:t>
            </w:r>
          </w:p>
        </w:tc>
        <w:tc>
          <w:tcPr>
            <w:tcW w:type="dxa" w:w="1296"/>
            <w:vAlign w:val="top"/>
          </w:tcPr>
          <w:p>
            <w:pPr>
              <w:spacing w:after="40"/>
            </w:pPr>
            <w:r>
              <w:rPr>
                <w:sz w:val="18"/>
              </w:rPr>
              <w:t>Test: Lighthouse or timed navigation</w:t>
            </w:r>
          </w:p>
        </w:tc>
        <w:tc>
          <w:tcPr>
            <w:tcW w:type="dxa" w:w="1224"/>
            <w:vAlign w:val="top"/>
          </w:tcPr>
          <w:p>
            <w:pPr>
              <w:spacing w:after="40"/>
            </w:pPr>
            <w:r>
              <w:rPr>
                <w:sz w:val="18"/>
              </w:rPr>
              <w:t>NFR-02</w:t>
            </w:r>
          </w:p>
        </w:tc>
        <w:tc>
          <w:tcPr>
            <w:tcW w:type="dxa" w:w="1800"/>
            <w:vAlign w:val="top"/>
          </w:tcPr>
          <w:p>
            <w:pPr>
              <w:spacing w:after="40"/>
            </w:pPr>
            <w:r>
              <w:rPr>
                <w:sz w:val="18"/>
              </w:rPr>
              <w:t>AppShell, CardCatalog</w:t>
            </w:r>
          </w:p>
        </w:tc>
      </w:tr>
      <w:tr>
        <w:tc>
          <w:tcPr>
            <w:tcW w:type="dxa" w:w="720"/>
            <w:vAlign w:val="top"/>
          </w:tcPr>
          <w:p>
            <w:pPr>
              <w:spacing w:after="40"/>
            </w:pPr>
            <w:r>
              <w:rPr>
                <w:sz w:val="18"/>
              </w:rPr>
              <w:t>QS-03</w:t>
            </w:r>
          </w:p>
        </w:tc>
        <w:tc>
          <w:tcPr>
            <w:tcW w:type="dxa" w:w="2160"/>
            <w:vAlign w:val="top"/>
          </w:tcPr>
          <w:p>
            <w:pPr>
              <w:spacing w:after="40"/>
            </w:pPr>
            <w:r>
              <w:rPr>
                <w:sz w:val="18"/>
              </w:rPr>
              <w:t>Weekly or manual refresh pulls an invalid card record from upstream.</w:t>
            </w:r>
          </w:p>
        </w:tc>
        <w:tc>
          <w:tcPr>
            <w:tcW w:type="dxa" w:w="2160"/>
            <w:vAlign w:val="top"/>
          </w:tcPr>
          <w:p>
            <w:pPr>
              <w:spacing w:after="40"/>
            </w:pPr>
            <w:r>
              <w:rPr>
                <w:sz w:val="18"/>
              </w:rPr>
              <w:t>Validation fails; the previous published dataset stays live.</w:t>
            </w:r>
          </w:p>
        </w:tc>
        <w:tc>
          <w:tcPr>
            <w:tcW w:type="dxa" w:w="1296"/>
            <w:vAlign w:val="top"/>
          </w:tcPr>
          <w:p>
            <w:pPr>
              <w:spacing w:after="40"/>
            </w:pPr>
            <w:r>
              <w:rPr>
                <w:sz w:val="18"/>
              </w:rPr>
              <w:t>Test: inject invalid record in CI fixture</w:t>
            </w:r>
          </w:p>
        </w:tc>
        <w:tc>
          <w:tcPr>
            <w:tcW w:type="dxa" w:w="1224"/>
            <w:vAlign w:val="top"/>
          </w:tcPr>
          <w:p>
            <w:pPr>
              <w:spacing w:after="40"/>
            </w:pPr>
            <w:r>
              <w:rPr>
                <w:sz w:val="18"/>
              </w:rPr>
              <w:t>FR-52, FR-53, NFR-08</w:t>
            </w:r>
          </w:p>
        </w:tc>
        <w:tc>
          <w:tcPr>
            <w:tcW w:type="dxa" w:w="1800"/>
            <w:vAlign w:val="top"/>
          </w:tcPr>
          <w:p>
            <w:pPr>
              <w:spacing w:after="40"/>
            </w:pPr>
            <w:r>
              <w:rPr>
                <w:sz w:val="18"/>
              </w:rPr>
              <w:t>DataPipeline</w:t>
            </w:r>
          </w:p>
        </w:tc>
      </w:tr>
      <w:tr>
        <w:tc>
          <w:tcPr>
            <w:tcW w:type="dxa" w:w="720"/>
            <w:vAlign w:val="top"/>
          </w:tcPr>
          <w:p>
            <w:pPr>
              <w:spacing w:after="40"/>
            </w:pPr>
            <w:r>
              <w:rPr>
                <w:sz w:val="18"/>
              </w:rPr>
              <w:t>QS-04</w:t>
            </w:r>
          </w:p>
        </w:tc>
        <w:tc>
          <w:tcPr>
            <w:tcW w:type="dxa" w:w="2160"/>
            <w:vAlign w:val="top"/>
          </w:tcPr>
          <w:p>
            <w:pPr>
              <w:spacing w:after="40"/>
            </w:pPr>
            <w:r>
              <w:rPr>
                <w:sz w:val="18"/>
              </w:rPr>
              <w:t>Guest builds a deck, signs in, and saves; another browser signs in and loads it.</w:t>
            </w:r>
          </w:p>
        </w:tc>
        <w:tc>
          <w:tcPr>
            <w:tcW w:type="dxa" w:w="2160"/>
            <w:vAlign w:val="top"/>
          </w:tcPr>
          <w:p>
            <w:pPr>
              <w:spacing w:after="40"/>
            </w:pPr>
            <w:r>
              <w:rPr>
                <w:sz w:val="18"/>
              </w:rPr>
              <w:t>Deck appears for the same account; guest local draft is offered for import once per browser profile; decline is permanent for that draft; never overwrite a saved deck without explicit replace.</w:t>
            </w:r>
          </w:p>
        </w:tc>
        <w:tc>
          <w:tcPr>
            <w:tcW w:type="dxa" w:w="1296"/>
            <w:vAlign w:val="top"/>
          </w:tcPr>
          <w:p>
            <w:pPr>
              <w:spacing w:after="40"/>
            </w:pPr>
            <w:r>
              <w:rPr>
                <w:sz w:val="18"/>
              </w:rPr>
              <w:t>Test: UC-07 across two browsers; decline then re-sign-in does not re-prompt for the same draft</w:t>
            </w:r>
          </w:p>
        </w:tc>
        <w:tc>
          <w:tcPr>
            <w:tcW w:type="dxa" w:w="1224"/>
            <w:vAlign w:val="top"/>
          </w:tcPr>
          <w:p>
            <w:pPr>
              <w:spacing w:after="40"/>
            </w:pPr>
            <w:r>
              <w:rPr>
                <w:sz w:val="18"/>
              </w:rPr>
              <w:t>FR-27, FR-36, FR-38, NFR-04</w:t>
            </w:r>
          </w:p>
        </w:tc>
        <w:tc>
          <w:tcPr>
            <w:tcW w:type="dxa" w:w="1800"/>
            <w:vAlign w:val="top"/>
          </w:tcPr>
          <w:p>
            <w:pPr>
              <w:spacing w:after="40"/>
            </w:pPr>
            <w:r>
              <w:rPr>
                <w:sz w:val="18"/>
              </w:rPr>
              <w:t>AuthClient, DeckStore</w:t>
            </w:r>
          </w:p>
        </w:tc>
      </w:tr>
      <w:tr>
        <w:tc>
          <w:tcPr>
            <w:tcW w:type="dxa" w:w="720"/>
            <w:vAlign w:val="top"/>
          </w:tcPr>
          <w:p>
            <w:pPr>
              <w:spacing w:after="40"/>
            </w:pPr>
            <w:r>
              <w:rPr>
                <w:sz w:val="18"/>
              </w:rPr>
              <w:t>QS-05</w:t>
            </w:r>
          </w:p>
        </w:tc>
        <w:tc>
          <w:tcPr>
            <w:tcW w:type="dxa" w:w="2160"/>
            <w:vAlign w:val="top"/>
          </w:tcPr>
          <w:p>
            <w:pPr>
              <w:spacing w:after="40"/>
            </w:pPr>
            <w:r>
              <w:rPr>
                <w:sz w:val="18"/>
              </w:rPr>
              <w:t>Owner creates a share link; a guest opens it; owner revokes; guest reloads.</w:t>
            </w:r>
          </w:p>
        </w:tc>
        <w:tc>
          <w:tcPr>
            <w:tcW w:type="dxa" w:w="2160"/>
            <w:vAlign w:val="top"/>
          </w:tcPr>
          <w:p>
            <w:pPr>
              <w:spacing w:after="40"/>
            </w:pPr>
            <w:r>
              <w:rPr>
                <w:sz w:val="18"/>
              </w:rPr>
              <w:t>Guest sees a read-only deck until revoke; after revoke the link returns not found.</w:t>
            </w:r>
          </w:p>
        </w:tc>
        <w:tc>
          <w:tcPr>
            <w:tcW w:type="dxa" w:w="1296"/>
            <w:vAlign w:val="top"/>
          </w:tcPr>
          <w:p>
            <w:pPr>
              <w:spacing w:after="40"/>
            </w:pPr>
            <w:r>
              <w:rPr>
                <w:sz w:val="18"/>
              </w:rPr>
              <w:t>Test: UC-08 create, open, revoke</w:t>
            </w:r>
          </w:p>
        </w:tc>
        <w:tc>
          <w:tcPr>
            <w:tcW w:type="dxa" w:w="1224"/>
            <w:vAlign w:val="top"/>
          </w:tcPr>
          <w:p>
            <w:pPr>
              <w:spacing w:after="40"/>
            </w:pPr>
            <w:r>
              <w:rPr>
                <w:sz w:val="18"/>
              </w:rPr>
              <w:t>FR-41, FR-42, FR-43</w:t>
            </w:r>
          </w:p>
        </w:tc>
        <w:tc>
          <w:tcPr>
            <w:tcW w:type="dxa" w:w="1800"/>
            <w:vAlign w:val="top"/>
          </w:tcPr>
          <w:p>
            <w:pPr>
              <w:spacing w:after="40"/>
            </w:pPr>
            <w:r>
              <w:rPr>
                <w:sz w:val="18"/>
              </w:rPr>
              <w:t>ShareService</w:t>
            </w:r>
          </w:p>
        </w:tc>
      </w:tr>
      <w:tr>
        <w:tc>
          <w:tcPr>
            <w:tcW w:type="dxa" w:w="720"/>
            <w:vAlign w:val="top"/>
          </w:tcPr>
          <w:p>
            <w:pPr>
              <w:spacing w:after="40"/>
            </w:pPr>
            <w:r>
              <w:rPr>
                <w:sz w:val="18"/>
              </w:rPr>
              <w:t>QS-06</w:t>
            </w:r>
          </w:p>
        </w:tc>
        <w:tc>
          <w:tcPr>
            <w:tcW w:type="dxa" w:w="2160"/>
            <w:vAlign w:val="top"/>
          </w:tcPr>
          <w:p>
            <w:pPr>
              <w:spacing w:after="40"/>
            </w:pPr>
            <w:r>
              <w:rPr>
                <w:sz w:val="18"/>
              </w:rPr>
              <w:t>User confirms account deletion.</w:t>
            </w:r>
          </w:p>
        </w:tc>
        <w:tc>
          <w:tcPr>
            <w:tcW w:type="dxa" w:w="2160"/>
            <w:vAlign w:val="top"/>
          </w:tcPr>
          <w:p>
            <w:pPr>
              <w:spacing w:after="40"/>
            </w:pPr>
            <w:r>
              <w:rPr>
                <w:sz w:val="18"/>
              </w:rPr>
              <w:t>Auth identity, personal decks, and share tokens are hard-deleted immediately in the live store; only provider backups may remain until they age out within 30 days.</w:t>
            </w:r>
          </w:p>
        </w:tc>
        <w:tc>
          <w:tcPr>
            <w:tcW w:type="dxa" w:w="1296"/>
            <w:vAlign w:val="top"/>
          </w:tcPr>
          <w:p>
            <w:pPr>
              <w:spacing w:after="40"/>
            </w:pPr>
            <w:r>
              <w:rPr>
                <w:sz w:val="18"/>
              </w:rPr>
              <w:t>Test: delete account; cannot sign in and decks/shares gone at once; confirm no live rows remain</w:t>
            </w:r>
          </w:p>
        </w:tc>
        <w:tc>
          <w:tcPr>
            <w:tcW w:type="dxa" w:w="1224"/>
            <w:vAlign w:val="top"/>
          </w:tcPr>
          <w:p>
            <w:pPr>
              <w:spacing w:after="40"/>
            </w:pPr>
            <w:r>
              <w:rPr>
                <w:sz w:val="18"/>
              </w:rPr>
              <w:t>FR-35, NFR-07</w:t>
            </w:r>
          </w:p>
        </w:tc>
        <w:tc>
          <w:tcPr>
            <w:tcW w:type="dxa" w:w="1800"/>
            <w:vAlign w:val="top"/>
          </w:tcPr>
          <w:p>
            <w:pPr>
              <w:spacing w:after="40"/>
            </w:pPr>
            <w:r>
              <w:rPr>
                <w:sz w:val="18"/>
              </w:rPr>
              <w:t>AuthClient, DeckStore, ShareService</w:t>
            </w:r>
          </w:p>
        </w:tc>
      </w:tr>
      <w:tr>
        <w:tc>
          <w:tcPr>
            <w:tcW w:type="dxa" w:w="720"/>
            <w:vAlign w:val="top"/>
          </w:tcPr>
          <w:p>
            <w:pPr>
              <w:spacing w:after="40"/>
            </w:pPr>
            <w:r>
              <w:rPr>
                <w:sz w:val="18"/>
              </w:rPr>
              <w:t>QS-07</w:t>
            </w:r>
          </w:p>
        </w:tc>
        <w:tc>
          <w:tcPr>
            <w:tcW w:type="dxa" w:w="2160"/>
            <w:vAlign w:val="top"/>
          </w:tcPr>
          <w:p>
            <w:pPr>
              <w:spacing w:after="40"/>
            </w:pPr>
            <w:r>
              <w:rPr>
                <w:sz w:val="18"/>
              </w:rPr>
              <w:t>User completes UC-01, UC-05, and UC-06 by keyboard only on a primary screen.</w:t>
            </w:r>
          </w:p>
        </w:tc>
        <w:tc>
          <w:tcPr>
            <w:tcW w:type="dxa" w:w="2160"/>
            <w:vAlign w:val="top"/>
          </w:tcPr>
          <w:p>
            <w:pPr>
              <w:spacing w:after="40"/>
            </w:pPr>
            <w:r>
              <w:rPr>
                <w:sz w:val="18"/>
              </w:rPr>
              <w:t>Every control is reachable; ban status is not color-only; axe reports no AA blockers.</w:t>
            </w:r>
          </w:p>
        </w:tc>
        <w:tc>
          <w:tcPr>
            <w:tcW w:type="dxa" w:w="1296"/>
            <w:vAlign w:val="top"/>
          </w:tcPr>
          <w:p>
            <w:pPr>
              <w:spacing w:after="40"/>
            </w:pPr>
            <w:r>
              <w:rPr>
                <w:sz w:val="18"/>
              </w:rPr>
              <w:t>Test: keyboard path plus axe</w:t>
            </w:r>
          </w:p>
        </w:tc>
        <w:tc>
          <w:tcPr>
            <w:tcW w:type="dxa" w:w="1224"/>
            <w:vAlign w:val="top"/>
          </w:tcPr>
          <w:p>
            <w:pPr>
              <w:spacing w:after="40"/>
            </w:pPr>
            <w:r>
              <w:rPr>
                <w:sz w:val="18"/>
              </w:rPr>
              <w:t>NFR-09, NFR-10, NFR-11</w:t>
            </w:r>
          </w:p>
        </w:tc>
        <w:tc>
          <w:tcPr>
            <w:tcW w:type="dxa" w:w="1800"/>
            <w:vAlign w:val="top"/>
          </w:tcPr>
          <w:p>
            <w:pPr>
              <w:spacing w:after="40"/>
            </w:pPr>
            <w:r>
              <w:rPr>
                <w:sz w:val="18"/>
              </w:rPr>
              <w:t>AppShell, DeckBuilder</w:t>
            </w:r>
          </w:p>
        </w:tc>
      </w:tr>
    </w:tbl>
    <w:p>
      <w:pPr>
        <w:spacing w:after="40"/>
      </w:pPr>
    </w:p>
    <w:p>
      <w:pPr>
        <w:pStyle w:val="Heading1"/>
      </w:pPr>
      <w:r>
        <w:t>4. Architectural style</w:t>
      </w:r>
    </w:p>
    <w:p>
      <w:r>
        <w:t>OTCP is a static single-page app on GitHub Pages with a build-time data pipeline and a small BaaS (Supabase) for auth, saved decks, want lists, and collection. The browser never calls YGOPRODeck for images or card JSON at runtime. Domain logic (schema, format rules, export codecs, search index) lives in modules that run under Node in tests (NFR-14).</w:t>
      </w:r>
    </w:p>
    <w:tbl>
      <w:tblPr>
        <w:tblStyle w:val="TableGrid"/>
        <w:tblW w:type="auto" w:w="0"/>
        <w:tblLayout w:type="fixed"/>
        <w:tblLook w:firstColumn="1" w:firstRow="1" w:lastColumn="0" w:lastRow="0" w:noHBand="0" w:noVBand="1" w:val="04A0"/>
      </w:tblPr>
      <w:tblGrid>
        <w:gridCol w:w="2160"/>
        <w:gridCol w:w="1296"/>
        <w:gridCol w:w="5904"/>
      </w:tblGrid>
      <w:tr>
        <w:trPr>
          <w:tblHeader w:val="true"/>
        </w:trPr>
        <w:tc>
          <w:tcPr>
            <w:tcW w:type="dxa" w:w="2160"/>
            <w:shd w:val="clear" w:color="auto" w:fill="D9E2F3"/>
          </w:tcPr>
          <w:p>
            <w:r/>
            <w:r>
              <w:rPr>
                <w:b/>
                <w:sz w:val="19"/>
              </w:rPr>
              <w:t>Component</w:t>
            </w:r>
          </w:p>
        </w:tc>
        <w:tc>
          <w:tcPr>
            <w:tcW w:type="dxa" w:w="1296"/>
            <w:shd w:val="clear" w:color="auto" w:fill="D9E2F3"/>
          </w:tcPr>
          <w:p>
            <w:r/>
            <w:r>
              <w:rPr>
                <w:b/>
                <w:sz w:val="19"/>
              </w:rPr>
              <w:t>Process</w:t>
            </w:r>
          </w:p>
        </w:tc>
        <w:tc>
          <w:tcPr>
            <w:tcW w:type="dxa" w:w="5904"/>
            <w:shd w:val="clear" w:color="auto" w:fill="D9E2F3"/>
          </w:tcPr>
          <w:p>
            <w:r/>
            <w:r>
              <w:rPr>
                <w:b/>
                <w:sz w:val="19"/>
              </w:rPr>
              <w:t>Responsibility</w:t>
            </w:r>
          </w:p>
        </w:tc>
      </w:tr>
      <w:tr>
        <w:tc>
          <w:tcPr>
            <w:tcW w:type="dxa" w:w="2160"/>
            <w:vAlign w:val="top"/>
          </w:tcPr>
          <w:p>
            <w:pPr>
              <w:spacing w:after="40"/>
            </w:pPr>
            <w:r>
              <w:rPr>
                <w:sz w:val="19"/>
              </w:rPr>
              <w:t>AppShell</w:t>
            </w:r>
          </w:p>
        </w:tc>
        <w:tc>
          <w:tcPr>
            <w:tcW w:type="dxa" w:w="1296"/>
            <w:vAlign w:val="top"/>
          </w:tcPr>
          <w:p>
            <w:pPr>
              <w:spacing w:after="40"/>
            </w:pPr>
            <w:r>
              <w:rPr>
                <w:sz w:val="19"/>
              </w:rPr>
              <w:t>Browser</w:t>
            </w:r>
          </w:p>
        </w:tc>
        <w:tc>
          <w:tcPr>
            <w:tcW w:type="dxa" w:w="5904"/>
            <w:vAlign w:val="top"/>
          </w:tcPr>
          <w:p>
            <w:pPr>
              <w:spacing w:after="40"/>
            </w:pPr>
            <w:r>
              <w:rPr>
                <w:sz w:val="19"/>
              </w:rPr>
              <w:t>Routing under /otcp/, layout, Ink chrome, Stack favicon V1 Mono charcoal, Match-system theme via prefers-color-scheme and data-theme, tokens from docs/ui/tokens.css (Tailwind @theme), hamburger phone nav (Search, Formats, Decks, Collection, Lists, Account — no separate Builder), view preference: customizable Table is the default on Search/Lists/Collection at ≥~640 CSS px (List/Grid toggles remain); under that width those screens use compact icon rows (List) with no Table; shared live count line (same format as search results) above the results; table column layouts via DataTable/ColumnConfigStore; notices page</w:t>
            </w:r>
          </w:p>
        </w:tc>
      </w:tr>
      <w:tr>
        <w:tc>
          <w:tcPr>
            <w:tcW w:type="dxa" w:w="2160"/>
            <w:vAlign w:val="top"/>
          </w:tcPr>
          <w:p>
            <w:pPr>
              <w:spacing w:after="40"/>
            </w:pPr>
            <w:r>
              <w:rPr>
                <w:sz w:val="19"/>
              </w:rPr>
              <w:t>SearchIndex</w:t>
            </w:r>
          </w:p>
        </w:tc>
        <w:tc>
          <w:tcPr>
            <w:tcW w:type="dxa" w:w="1296"/>
            <w:vAlign w:val="top"/>
          </w:tcPr>
          <w:p>
            <w:pPr>
              <w:spacing w:after="40"/>
            </w:pPr>
            <w:r>
              <w:rPr>
                <w:sz w:val="19"/>
              </w:rPr>
              <w:t>Browser</w:t>
            </w:r>
          </w:p>
        </w:tc>
        <w:tc>
          <w:tcPr>
            <w:tcW w:type="dxa" w:w="5904"/>
            <w:vAlign w:val="top"/>
          </w:tcPr>
          <w:p>
            <w:pPr>
              <w:spacing w:after="40"/>
            </w:pPr>
            <w:r>
              <w:rPr>
                <w:sz w:val="19"/>
              </w:rPr>
              <w:t>In-memory name/id index plus inverted bitsets per facet value for typed search and facet counts under the 100 ms target</w:t>
            </w:r>
          </w:p>
        </w:tc>
      </w:tr>
      <w:tr>
        <w:tc>
          <w:tcPr>
            <w:tcW w:type="dxa" w:w="2160"/>
            <w:vAlign w:val="top"/>
          </w:tcPr>
          <w:p>
            <w:pPr>
              <w:spacing w:after="40"/>
            </w:pPr>
            <w:r>
              <w:rPr>
                <w:sz w:val="19"/>
              </w:rPr>
              <w:t>FilterEngine</w:t>
            </w:r>
          </w:p>
        </w:tc>
        <w:tc>
          <w:tcPr>
            <w:tcW w:type="dxa" w:w="1296"/>
            <w:vAlign w:val="top"/>
          </w:tcPr>
          <w:p>
            <w:pPr>
              <w:spacing w:after="40"/>
            </w:pPr>
            <w:r>
              <w:rPr>
                <w:sz w:val="19"/>
              </w:rPr>
              <w:t>Browser / Node</w:t>
            </w:r>
          </w:p>
        </w:tc>
        <w:tc>
          <w:tcPr>
            <w:tcW w:type="dxa" w:w="5904"/>
            <w:vAlign w:val="top"/>
          </w:tcPr>
          <w:p>
            <w:pPr>
              <w:spacing w:after="40"/>
            </w:pPr>
            <w:r>
              <w:rPr>
                <w:sz w:val="19"/>
              </w:rPr>
              <w:t>Applies declared core + game-extension facet definitions; include/exclude and AND/OR; returns match ids and per-option counts; UI-agnostic</w:t>
            </w:r>
          </w:p>
        </w:tc>
      </w:tr>
      <w:tr>
        <w:tc>
          <w:tcPr>
            <w:tcW w:type="dxa" w:w="2160"/>
            <w:vAlign w:val="top"/>
          </w:tcPr>
          <w:p>
            <w:pPr>
              <w:spacing w:after="40"/>
            </w:pPr>
            <w:r>
              <w:rPr>
                <w:sz w:val="19"/>
              </w:rPr>
              <w:t>CardCatalog</w:t>
            </w:r>
          </w:p>
        </w:tc>
        <w:tc>
          <w:tcPr>
            <w:tcW w:type="dxa" w:w="1296"/>
            <w:vAlign w:val="top"/>
          </w:tcPr>
          <w:p>
            <w:pPr>
              <w:spacing w:after="40"/>
            </w:pPr>
            <w:r>
              <w:rPr>
                <w:sz w:val="19"/>
              </w:rPr>
              <w:t>Browser</w:t>
            </w:r>
          </w:p>
        </w:tc>
        <w:tc>
          <w:tcPr>
            <w:tcW w:type="dxa" w:w="5904"/>
            <w:vAlign w:val="top"/>
          </w:tcPr>
          <w:p>
            <w:pPr>
              <w:spacing w:after="40"/>
            </w:pPr>
            <w:r>
              <w:rPr>
                <w:sz w:val="19"/>
              </w:rPr>
              <w:t>Loads published card JSON (including misc_info and card_prices/card_sets needed for addable table columns); hosts filter panel from declarations; default desktop Table on Search/Lists/Collection with compact icon rows on phone; stacked or two-column detail; same-origin art</w:t>
            </w:r>
          </w:p>
        </w:tc>
      </w:tr>
      <w:tr>
        <w:tc>
          <w:tcPr>
            <w:tcW w:type="dxa" w:w="2160"/>
            <w:vAlign w:val="top"/>
          </w:tcPr>
          <w:p>
            <w:pPr>
              <w:spacing w:after="40"/>
            </w:pPr>
            <w:r>
              <w:rPr>
                <w:sz w:val="19"/>
              </w:rPr>
              <w:t>ValueSummary</w:t>
            </w:r>
          </w:p>
        </w:tc>
        <w:tc>
          <w:tcPr>
            <w:tcW w:type="dxa" w:w="1296"/>
            <w:vAlign w:val="top"/>
          </w:tcPr>
          <w:p>
            <w:pPr>
              <w:spacing w:after="40"/>
            </w:pPr>
            <w:r>
              <w:rPr>
                <w:sz w:val="19"/>
              </w:rPr>
              <w:t>Browser</w:t>
            </w:r>
          </w:p>
        </w:tc>
        <w:tc>
          <w:tcPr>
            <w:tcW w:type="dxa" w:w="5904"/>
            <w:vAlign w:val="top"/>
          </w:tcPr>
          <w:p>
            <w:pPr>
              <w:spacing w:after="40"/>
            </w:pPr>
            <w:r>
              <w:rPr>
                <w:sz w:val="19"/>
              </w:rPr>
              <w:t>Shared summary bar for Collection, Lists, and Decks (the only place price/P/L stats appear — count line above results is card count only, same live format as Search): Total current value (market×qty, or my_value×qty when set — Must), Total paid (purchase×qty over priced items; on Lists purchase = what the user paid / expects to pay), Profit/loss over priced items, priced-count label; Market = YGOPRODeck card_prices.tcgplayer_price; deck totals inherit purchase/my_value from matching collection printings when present</w:t>
            </w:r>
          </w:p>
        </w:tc>
      </w:tr>
      <w:tr>
        <w:tc>
          <w:tcPr>
            <w:tcW w:type="dxa" w:w="2160"/>
            <w:vAlign w:val="top"/>
          </w:tcPr>
          <w:p>
            <w:pPr>
              <w:spacing w:after="40"/>
            </w:pPr>
            <w:r>
              <w:rPr>
                <w:sz w:val="19"/>
              </w:rPr>
              <w:t>DataTable</w:t>
            </w:r>
          </w:p>
        </w:tc>
        <w:tc>
          <w:tcPr>
            <w:tcW w:type="dxa" w:w="1296"/>
            <w:vAlign w:val="top"/>
          </w:tcPr>
          <w:p>
            <w:pPr>
              <w:spacing w:after="40"/>
            </w:pPr>
            <w:r>
              <w:rPr>
                <w:sz w:val="19"/>
              </w:rPr>
              <w:t>Browser</w:t>
            </w:r>
          </w:p>
        </w:tc>
        <w:tc>
          <w:tcPr>
            <w:tcW w:type="dxa" w:w="5904"/>
            <w:vAlign w:val="top"/>
          </w:tcPr>
          <w:p>
            <w:pPr>
              <w:spacing w:after="40"/>
            </w:pPr>
            <w:r>
              <w:rPr>
                <w:sz w:val="19"/>
              </w:rPr>
              <w:t>Shared desktop Table (default view ≥~640) for Search, Lists, and Collection: default columns per screen, sort, per-column filter, drag-reorder, resize, header context menu + keyboard Columns control; ColumnConfigStore remembers and restores the full setup (visible columns, order, widths, sort, active filters) per table key on reopen (localStorage when signed out; profiles.table_column_prefs when signed in); not used on phone — compact icon rows instead</w:t>
            </w:r>
          </w:p>
        </w:tc>
      </w:tr>
      <w:tr>
        <w:tc>
          <w:tcPr>
            <w:tcW w:type="dxa" w:w="2160"/>
            <w:vAlign w:val="top"/>
          </w:tcPr>
          <w:p>
            <w:pPr>
              <w:spacing w:after="40"/>
            </w:pPr>
            <w:r>
              <w:rPr>
                <w:sz w:val="19"/>
              </w:rPr>
              <w:t>FormatEngine</w:t>
            </w:r>
          </w:p>
        </w:tc>
        <w:tc>
          <w:tcPr>
            <w:tcW w:type="dxa" w:w="1296"/>
            <w:vAlign w:val="top"/>
          </w:tcPr>
          <w:p>
            <w:pPr>
              <w:spacing w:after="40"/>
            </w:pPr>
            <w:r>
              <w:rPr>
                <w:sz w:val="19"/>
              </w:rPr>
              <w:t>Browser / Node</w:t>
            </w:r>
          </w:p>
        </w:tc>
        <w:tc>
          <w:tcPr>
            <w:tcW w:type="dxa" w:w="5904"/>
            <w:vAlign w:val="top"/>
          </w:tcPr>
          <w:p>
            <w:pPr>
              <w:spacing w:after="40"/>
            </w:pPr>
            <w:r>
              <w:rPr>
                <w:sz w:val="19"/>
              </w:rPr>
              <w:t>Format catalog, ban status, Genesys points and caps, Speed Skill rules</w:t>
            </w:r>
          </w:p>
        </w:tc>
      </w:tr>
      <w:tr>
        <w:tc>
          <w:tcPr>
            <w:tcW w:type="dxa" w:w="2160"/>
            <w:vAlign w:val="top"/>
          </w:tcPr>
          <w:p>
            <w:pPr>
              <w:spacing w:after="40"/>
            </w:pPr>
            <w:r>
              <w:rPr>
                <w:sz w:val="19"/>
              </w:rPr>
              <w:t>DeckBuilder</w:t>
            </w:r>
          </w:p>
        </w:tc>
        <w:tc>
          <w:tcPr>
            <w:tcW w:type="dxa" w:w="1296"/>
            <w:vAlign w:val="top"/>
          </w:tcPr>
          <w:p>
            <w:pPr>
              <w:spacing w:after="40"/>
            </w:pPr>
            <w:r>
              <w:rPr>
                <w:sz w:val="19"/>
              </w:rPr>
              <w:t>Browser</w:t>
            </w:r>
          </w:p>
        </w:tc>
        <w:tc>
          <w:tcPr>
            <w:tcW w:type="dxa" w:w="5904"/>
            <w:vAlign w:val="top"/>
          </w:tcPr>
          <w:p>
            <w:pPr>
              <w:spacing w:after="40"/>
            </w:pPr>
            <w:r>
              <w:rPr>
                <w:sz w:val="19"/>
              </w:rPr>
              <w:t>Main / Extra / Side (and Skill where needed); CardFinder (shared with want-list and collection editors); List/Grid sections; counts; Genesys points; owned/missing vs collection; ValueSummary (current / paid / P/L); live validation; opened from Decks (no separate Builder primary-nav route)</w:t>
            </w:r>
          </w:p>
        </w:tc>
      </w:tr>
      <w:tr>
        <w:tc>
          <w:tcPr>
            <w:tcW w:type="dxa" w:w="2160"/>
            <w:vAlign w:val="top"/>
          </w:tcPr>
          <w:p>
            <w:pPr>
              <w:spacing w:after="40"/>
            </w:pPr>
            <w:r>
              <w:rPr>
                <w:sz w:val="19"/>
              </w:rPr>
              <w:t>ExportCodec</w:t>
            </w:r>
          </w:p>
        </w:tc>
        <w:tc>
          <w:tcPr>
            <w:tcW w:type="dxa" w:w="1296"/>
            <w:vAlign w:val="top"/>
          </w:tcPr>
          <w:p>
            <w:pPr>
              <w:spacing w:after="40"/>
            </w:pPr>
            <w:r>
              <w:rPr>
                <w:sz w:val="19"/>
              </w:rPr>
              <w:t>Browser / Node</w:t>
            </w:r>
          </w:p>
        </w:tc>
        <w:tc>
          <w:tcPr>
            <w:tcW w:type="dxa" w:w="5904"/>
            <w:vAlign w:val="top"/>
          </w:tcPr>
          <w:p>
            <w:pPr>
              <w:spacing w:after="40"/>
            </w:pPr>
            <w:r>
              <w:rPr>
                <w:sz w:val="19"/>
              </w:rPr>
              <w:t>YDK (Skill under #main), YDKE, TCGplayer Mass Entry, plain text; import YDK</w:t>
            </w:r>
          </w:p>
        </w:tc>
      </w:tr>
      <w:tr>
        <w:tc>
          <w:tcPr>
            <w:tcW w:type="dxa" w:w="2160"/>
            <w:vAlign w:val="top"/>
          </w:tcPr>
          <w:p>
            <w:pPr>
              <w:spacing w:after="40"/>
            </w:pPr>
            <w:r>
              <w:rPr>
                <w:sz w:val="19"/>
              </w:rPr>
              <w:t>AuthClient</w:t>
            </w:r>
          </w:p>
        </w:tc>
        <w:tc>
          <w:tcPr>
            <w:tcW w:type="dxa" w:w="1296"/>
            <w:vAlign w:val="top"/>
          </w:tcPr>
          <w:p>
            <w:pPr>
              <w:spacing w:after="40"/>
            </w:pPr>
            <w:r>
              <w:rPr>
                <w:sz w:val="19"/>
              </w:rPr>
              <w:t>Browser</w:t>
            </w:r>
          </w:p>
        </w:tc>
        <w:tc>
          <w:tcPr>
            <w:tcW w:type="dxa" w:w="5904"/>
            <w:vAlign w:val="top"/>
          </w:tcPr>
          <w:p>
            <w:pPr>
              <w:spacing w:after="40"/>
            </w:pPr>
            <w:r>
              <w:rPr>
                <w:sz w:val="19"/>
              </w:rPr>
              <w:t>Supabase email/password and Google sign-in; session; account delete request</w:t>
            </w:r>
          </w:p>
        </w:tc>
      </w:tr>
      <w:tr>
        <w:tc>
          <w:tcPr>
            <w:tcW w:type="dxa" w:w="2160"/>
            <w:vAlign w:val="top"/>
          </w:tcPr>
          <w:p>
            <w:pPr>
              <w:spacing w:after="40"/>
            </w:pPr>
            <w:r>
              <w:rPr>
                <w:sz w:val="19"/>
              </w:rPr>
              <w:t>DeckStore</w:t>
            </w:r>
          </w:p>
        </w:tc>
        <w:tc>
          <w:tcPr>
            <w:tcW w:type="dxa" w:w="1296"/>
            <w:vAlign w:val="top"/>
          </w:tcPr>
          <w:p>
            <w:pPr>
              <w:spacing w:after="40"/>
            </w:pPr>
            <w:r>
              <w:rPr>
                <w:sz w:val="19"/>
              </w:rPr>
              <w:t>Browser + Supabase</w:t>
            </w:r>
          </w:p>
        </w:tc>
        <w:tc>
          <w:tcPr>
            <w:tcW w:type="dxa" w:w="5904"/>
            <w:vAlign w:val="top"/>
          </w:tcPr>
          <w:p>
            <w:pPr>
              <w:spacing w:after="40"/>
            </w:pPr>
            <w:r>
              <w:rPr>
                <w:sz w:val="19"/>
              </w:rPr>
              <w:t>Guest drafts in browser storage; signed-in decks in Supabase</w:t>
            </w:r>
          </w:p>
        </w:tc>
      </w:tr>
      <w:tr>
        <w:tc>
          <w:tcPr>
            <w:tcW w:type="dxa" w:w="2160"/>
            <w:vAlign w:val="top"/>
          </w:tcPr>
          <w:p>
            <w:pPr>
              <w:spacing w:after="40"/>
            </w:pPr>
            <w:r>
              <w:rPr>
                <w:sz w:val="19"/>
              </w:rPr>
              <w:t>WantListStore</w:t>
            </w:r>
          </w:p>
        </w:tc>
        <w:tc>
          <w:tcPr>
            <w:tcW w:type="dxa" w:w="1296"/>
            <w:vAlign w:val="top"/>
          </w:tcPr>
          <w:p>
            <w:pPr>
              <w:spacing w:after="40"/>
            </w:pPr>
            <w:r>
              <w:rPr>
                <w:sz w:val="19"/>
              </w:rPr>
              <w:t>Browser + Supabase</w:t>
            </w:r>
          </w:p>
        </w:tc>
        <w:tc>
          <w:tcPr>
            <w:tcW w:type="dxa" w:w="5904"/>
            <w:vAlign w:val="top"/>
          </w:tcPr>
          <w:p>
            <w:pPr>
              <w:spacing w:after="40"/>
            </w:pPr>
            <w:r>
              <w:rPr>
                <w:sz w:val="19"/>
              </w:rPr>
              <w:t>Guest Lists (want lists) in browser storage; signed-in Lists in Supabase; UI label Lists; price totals from published snapshot</w:t>
            </w:r>
          </w:p>
        </w:tc>
      </w:tr>
      <w:tr>
        <w:tc>
          <w:tcPr>
            <w:tcW w:type="dxa" w:w="2160"/>
            <w:vAlign w:val="top"/>
          </w:tcPr>
          <w:p>
            <w:pPr>
              <w:spacing w:after="40"/>
            </w:pPr>
            <w:r>
              <w:rPr>
                <w:sz w:val="19"/>
              </w:rPr>
              <w:t>CollectionStore</w:t>
            </w:r>
          </w:p>
        </w:tc>
        <w:tc>
          <w:tcPr>
            <w:tcW w:type="dxa" w:w="1296"/>
            <w:vAlign w:val="top"/>
          </w:tcPr>
          <w:p>
            <w:pPr>
              <w:spacing w:after="40"/>
            </w:pPr>
            <w:r>
              <w:rPr>
                <w:sz w:val="19"/>
              </w:rPr>
              <w:t>Browser + Supabase</w:t>
            </w:r>
          </w:p>
        </w:tc>
        <w:tc>
          <w:tcPr>
            <w:tcW w:type="dxa" w:w="5904"/>
            <w:vAlign w:val="top"/>
          </w:tcPr>
          <w:p>
            <w:pPr>
              <w:spacing w:after="40"/>
            </w:pPr>
            <w:r>
              <w:rPr>
                <w:sz w:val="19"/>
              </w:rPr>
              <w:t>Guest collection in browser storage; signed-in collection in Supabase; feeds deck owned/missing</w:t>
            </w:r>
          </w:p>
        </w:tc>
      </w:tr>
      <w:tr>
        <w:tc>
          <w:tcPr>
            <w:tcW w:type="dxa" w:w="2160"/>
            <w:vAlign w:val="top"/>
          </w:tcPr>
          <w:p>
            <w:pPr>
              <w:spacing w:after="40"/>
            </w:pPr>
            <w:r>
              <w:rPr>
                <w:sz w:val="19"/>
              </w:rPr>
              <w:t>ShareService</w:t>
            </w:r>
          </w:p>
        </w:tc>
        <w:tc>
          <w:tcPr>
            <w:tcW w:type="dxa" w:w="1296"/>
            <w:vAlign w:val="top"/>
          </w:tcPr>
          <w:p>
            <w:pPr>
              <w:spacing w:after="40"/>
            </w:pPr>
            <w:r>
              <w:rPr>
                <w:sz w:val="19"/>
              </w:rPr>
              <w:t>Browser + Supabase</w:t>
            </w:r>
          </w:p>
        </w:tc>
        <w:tc>
          <w:tcPr>
            <w:tcW w:type="dxa" w:w="5904"/>
            <w:vAlign w:val="top"/>
          </w:tcPr>
          <w:p>
            <w:pPr>
              <w:spacing w:after="40"/>
            </w:pPr>
            <w:r>
              <w:rPr>
                <w:sz w:val="19"/>
              </w:rPr>
              <w:t>Opaque tokens for decks and want lists; read-only share pages; revoke</w:t>
            </w:r>
          </w:p>
        </w:tc>
      </w:tr>
      <w:tr>
        <w:tc>
          <w:tcPr>
            <w:tcW w:type="dxa" w:w="2160"/>
            <w:vAlign w:val="top"/>
          </w:tcPr>
          <w:p>
            <w:pPr>
              <w:spacing w:after="40"/>
            </w:pPr>
            <w:r>
              <w:rPr>
                <w:sz w:val="19"/>
              </w:rPr>
              <w:t>PriceView</w:t>
            </w:r>
          </w:p>
        </w:tc>
        <w:tc>
          <w:tcPr>
            <w:tcW w:type="dxa" w:w="1296"/>
            <w:vAlign w:val="top"/>
          </w:tcPr>
          <w:p>
            <w:pPr>
              <w:spacing w:after="40"/>
            </w:pPr>
            <w:r>
              <w:rPr>
                <w:sz w:val="19"/>
              </w:rPr>
              <w:t>Browser</w:t>
            </w:r>
          </w:p>
        </w:tc>
        <w:tc>
          <w:tcPr>
            <w:tcW w:type="dxa" w:w="5904"/>
            <w:vAlign w:val="top"/>
          </w:tcPr>
          <w:p>
            <w:pPr>
              <w:spacing w:after="40"/>
            </w:pPr>
            <w:r>
              <w:rPr>
                <w:sz w:val="19"/>
              </w:rPr>
              <w:t>Shows published prices; opens store deep links in a new tab</w:t>
            </w:r>
          </w:p>
        </w:tc>
      </w:tr>
      <w:tr>
        <w:tc>
          <w:tcPr>
            <w:tcW w:type="dxa" w:w="2160"/>
            <w:vAlign w:val="top"/>
          </w:tcPr>
          <w:p>
            <w:pPr>
              <w:spacing w:after="40"/>
            </w:pPr>
            <w:r>
              <w:rPr>
                <w:sz w:val="19"/>
              </w:rPr>
              <w:t>SchemaCore</w:t>
            </w:r>
          </w:p>
        </w:tc>
        <w:tc>
          <w:tcPr>
            <w:tcW w:type="dxa" w:w="1296"/>
            <w:vAlign w:val="top"/>
          </w:tcPr>
          <w:p>
            <w:pPr>
              <w:spacing w:after="40"/>
            </w:pPr>
            <w:r>
              <w:rPr>
                <w:sz w:val="19"/>
              </w:rPr>
              <w:t>Node / Browser</w:t>
            </w:r>
          </w:p>
        </w:tc>
        <w:tc>
          <w:tcPr>
            <w:tcW w:type="dxa" w:w="5904"/>
            <w:vAlign w:val="top"/>
          </w:tcPr>
          <w:p>
            <w:pPr>
              <w:spacing w:after="40"/>
            </w:pPr>
            <w:r>
              <w:rPr>
                <w:sz w:val="19"/>
              </w:rPr>
              <w:t>Versioned shared core + Yu-Gi-Oh! extension; validation</w:t>
            </w:r>
          </w:p>
        </w:tc>
      </w:tr>
      <w:tr>
        <w:tc>
          <w:tcPr>
            <w:tcW w:type="dxa" w:w="2160"/>
            <w:vAlign w:val="top"/>
          </w:tcPr>
          <w:p>
            <w:pPr>
              <w:spacing w:after="40"/>
            </w:pPr>
            <w:r>
              <w:rPr>
                <w:sz w:val="19"/>
              </w:rPr>
              <w:t>DataPipeline</w:t>
            </w:r>
          </w:p>
        </w:tc>
        <w:tc>
          <w:tcPr>
            <w:tcW w:type="dxa" w:w="1296"/>
            <w:vAlign w:val="top"/>
          </w:tcPr>
          <w:p>
            <w:pPr>
              <w:spacing w:after="40"/>
            </w:pPr>
            <w:r>
              <w:rPr>
                <w:sz w:val="19"/>
              </w:rPr>
              <w:t>GitHub Actions</w:t>
            </w:r>
          </w:p>
        </w:tc>
        <w:tc>
          <w:tcPr>
            <w:tcW w:type="dxa" w:w="5904"/>
            <w:vAlign w:val="top"/>
          </w:tcPr>
          <w:p>
            <w:pPr>
              <w:spacing w:after="40"/>
            </w:pPr>
            <w:r>
              <w:rPr>
                <w:sz w:val="19"/>
              </w:rPr>
              <w:t>Fetch YGOPRODeck, validate, re-host images, publish or keep prior set</w:t>
            </w:r>
          </w:p>
        </w:tc>
      </w:tr>
    </w:tbl>
    <w:p>
      <w:pPr>
        <w:spacing w:after="40"/>
      </w:pPr>
    </w:p>
    <w:p>
      <w:pPr>
        <w:pStyle w:val="Heading1"/>
        <w:pageBreakBefore/>
      </w:pPr>
      <w:r>
        <w:t>5. Architecture views</w:t>
      </w:r>
    </w:p>
    <w:p>
      <w:r>
        <w:t>Each view is a PlantUML source in docs/diagrams/. Component names match the table in section 4.</w:t>
      </w:r>
    </w:p>
    <w:p>
      <w:pPr>
        <w:pStyle w:val="Heading2"/>
      </w:pPr>
      <w:r>
        <w:t>5.1 Use-case view</w:t>
      </w:r>
    </w:p>
    <w:p>
      <w:pPr>
        <w:jc w:val="center"/>
      </w:pPr>
      <w:r>
        <w:drawing>
          <wp:inline xmlns:a="http://schemas.openxmlformats.org/drawingml/2006/main" xmlns:pic="http://schemas.openxmlformats.org/drawingml/2006/picture">
            <wp:extent cx="2640180" cy="5303520"/>
            <wp:docPr id="1" name="Picture 1"/>
            <wp:cNvGraphicFramePr>
              <a:graphicFrameLocks noChangeAspect="1"/>
            </wp:cNvGraphicFramePr>
            <a:graphic>
              <a:graphicData uri="http://schemas.openxmlformats.org/drawingml/2006/picture">
                <pic:pic>
                  <pic:nvPicPr>
                    <pic:cNvPr id="0" name="01-use-case.png"/>
                    <pic:cNvPicPr/>
                  </pic:nvPicPr>
                  <pic:blipFill>
                    <a:blip r:embed="rId10"/>
                    <a:stretch>
                      <a:fillRect/>
                    </a:stretch>
                  </pic:blipFill>
                  <pic:spPr>
                    <a:xfrm>
                      <a:off x="0" y="0"/>
                      <a:ext cx="2640180" cy="5303520"/>
                    </a:xfrm>
                    <a:prstGeom prst="rect"/>
                  </pic:spPr>
                </pic:pic>
              </a:graphicData>
            </a:graphic>
          </wp:inline>
        </w:drawing>
      </w:r>
    </w:p>
    <w:p>
      <w:pPr>
        <w:jc w:val="center"/>
      </w:pPr>
      <w:r>
        <w:rPr>
          <w:b/>
        </w:rPr>
        <w:t xml:space="preserve">Figure 1. </w:t>
      </w:r>
      <w:r>
        <w:rPr>
          <w:i/>
        </w:rPr>
        <w:t>Figure 1. Use cases for guests and signed-in users.</w:t>
      </w:r>
    </w:p>
    <w:p>
      <w:r>
        <w:rPr>
          <w:b/>
        </w:rPr>
        <w:t xml:space="preserve">Purpose: </w:t>
      </w:r>
      <w:r>
        <w:t>Map actors to the ten SRS use cases.</w:t>
      </w:r>
    </w:p>
    <w:p>
      <w:r>
        <w:rPr>
          <w:b/>
        </w:rPr>
        <w:t xml:space="preserve">Assumption: </w:t>
      </w:r>
      <w:r>
        <w:t>One product under /otcp/; no separate mobile app.</w:t>
      </w:r>
    </w:p>
    <w:p>
      <w:r>
        <w:rPr>
          <w:b/>
        </w:rPr>
        <w:t xml:space="preserve">Limitation: </w:t>
      </w:r>
      <w:r>
        <w:t>Does not show refresh or curation workflows the owner runs offline.</w:t>
      </w:r>
    </w:p>
    <w:p>
      <w:pPr>
        <w:pStyle w:val="Heading2"/>
      </w:pPr>
      <w:r>
        <w:t>5.2 Component view</w:t>
      </w:r>
    </w:p>
    <w:p>
      <w:pPr>
        <w:jc w:val="center"/>
      </w:pPr>
      <w:r>
        <w:drawing>
          <wp:inline xmlns:a="http://schemas.openxmlformats.org/drawingml/2006/main" xmlns:pic="http://schemas.openxmlformats.org/drawingml/2006/picture">
            <wp:extent cx="5943600" cy="3340748"/>
            <wp:docPr id="2" name="Picture 2"/>
            <wp:cNvGraphicFramePr>
              <a:graphicFrameLocks noChangeAspect="1"/>
            </wp:cNvGraphicFramePr>
            <a:graphic>
              <a:graphicData uri="http://schemas.openxmlformats.org/drawingml/2006/picture">
                <pic:pic>
                  <pic:nvPicPr>
                    <pic:cNvPr id="0" name="02-component.png"/>
                    <pic:cNvPicPr/>
                  </pic:nvPicPr>
                  <pic:blipFill>
                    <a:blip r:embed="rId11"/>
                    <a:stretch>
                      <a:fillRect/>
                    </a:stretch>
                  </pic:blipFill>
                  <pic:spPr>
                    <a:xfrm>
                      <a:off x="0" y="0"/>
                      <a:ext cx="5943600" cy="3340748"/>
                    </a:xfrm>
                    <a:prstGeom prst="rect"/>
                  </pic:spPr>
                </pic:pic>
              </a:graphicData>
            </a:graphic>
          </wp:inline>
        </w:drawing>
      </w:r>
    </w:p>
    <w:p>
      <w:pPr>
        <w:jc w:val="center"/>
      </w:pPr>
      <w:r>
        <w:rPr>
          <w:b/>
        </w:rPr>
        <w:t xml:space="preserve">Figure 2. </w:t>
      </w:r>
      <w:r>
        <w:rPr>
          <w:i/>
        </w:rPr>
        <w:t>Figure 2. Runtime and build-time components.</w:t>
      </w:r>
    </w:p>
    <w:p>
      <w:r>
        <w:rPr>
          <w:b/>
        </w:rPr>
        <w:t xml:space="preserve">Purpose: </w:t>
      </w:r>
      <w:r>
        <w:t>Show module boundaries and which side owns data.</w:t>
      </w:r>
    </w:p>
    <w:p>
      <w:r>
        <w:rPr>
          <w:b/>
        </w:rPr>
        <w:t xml:space="preserve">Assumption: </w:t>
      </w:r>
      <w:r>
        <w:t>Component names match section 4.</w:t>
      </w:r>
    </w:p>
    <w:p>
      <w:r>
        <w:rPr>
          <w:b/>
        </w:rPr>
        <w:t xml:space="preserve">Limitation: </w:t>
      </w:r>
      <w:r>
        <w:t>Internal React component trees are omitted.</w:t>
      </w:r>
    </w:p>
    <w:p>
      <w:pPr>
        <w:pStyle w:val="Heading2"/>
      </w:pPr>
      <w:r>
        <w:t>5.3 Sequence: typed search</w:t>
      </w:r>
    </w:p>
    <w:p>
      <w:pPr>
        <w:jc w:val="center"/>
      </w:pPr>
      <w:r>
        <w:drawing>
          <wp:inline xmlns:a="http://schemas.openxmlformats.org/drawingml/2006/main" xmlns:pic="http://schemas.openxmlformats.org/drawingml/2006/picture">
            <wp:extent cx="5722534" cy="5303520"/>
            <wp:docPr id="3" name="Picture 3"/>
            <wp:cNvGraphicFramePr>
              <a:graphicFrameLocks noChangeAspect="1"/>
            </wp:cNvGraphicFramePr>
            <a:graphic>
              <a:graphicData uri="http://schemas.openxmlformats.org/drawingml/2006/picture">
                <pic:pic>
                  <pic:nvPicPr>
                    <pic:cNvPr id="0" name="03-sequence-search.png"/>
                    <pic:cNvPicPr/>
                  </pic:nvPicPr>
                  <pic:blipFill>
                    <a:blip r:embed="rId12"/>
                    <a:stretch>
                      <a:fillRect/>
                    </a:stretch>
                  </pic:blipFill>
                  <pic:spPr>
                    <a:xfrm>
                      <a:off x="0" y="0"/>
                      <a:ext cx="5722534" cy="5303520"/>
                    </a:xfrm>
                    <a:prstGeom prst="rect"/>
                  </pic:spPr>
                </pic:pic>
              </a:graphicData>
            </a:graphic>
          </wp:inline>
        </w:drawing>
      </w:r>
    </w:p>
    <w:p>
      <w:pPr>
        <w:jc w:val="center"/>
      </w:pPr>
      <w:r>
        <w:rPr>
          <w:b/>
        </w:rPr>
        <w:t xml:space="preserve">Figure 3. </w:t>
      </w:r>
      <w:r>
        <w:rPr>
          <w:i/>
        </w:rPr>
        <w:t>Figure 3. Search after the index is loaded.</w:t>
      </w:r>
    </w:p>
    <w:p>
      <w:r>
        <w:rPr>
          <w:b/>
        </w:rPr>
        <w:t xml:space="preserve">Purpose: </w:t>
      </w:r>
      <w:r>
        <w:t>Show the path that must stay under 100 ms (QS-01).</w:t>
      </w:r>
    </w:p>
    <w:p>
      <w:r>
        <w:rPr>
          <w:b/>
        </w:rPr>
        <w:t xml:space="preserve">Assumption: </w:t>
      </w:r>
      <w:r>
        <w:t>Index already loaded in memory.</w:t>
      </w:r>
    </w:p>
    <w:p>
      <w:r>
        <w:rPr>
          <w:b/>
        </w:rPr>
        <w:t xml:space="preserve">Limitation: </w:t>
      </w:r>
      <w:r>
        <w:t>Cold-load of the index is covered by QS-02, not this figure.</w:t>
      </w:r>
    </w:p>
    <w:p>
      <w:pPr>
        <w:pStyle w:val="Heading2"/>
      </w:pPr>
      <w:r>
        <w:t>5.4 Sequence: save and share</w:t>
      </w:r>
    </w:p>
    <w:p>
      <w:pPr>
        <w:jc w:val="center"/>
      </w:pPr>
      <w:r>
        <w:drawing>
          <wp:inline xmlns:a="http://schemas.openxmlformats.org/drawingml/2006/main" xmlns:pic="http://schemas.openxmlformats.org/drawingml/2006/picture">
            <wp:extent cx="3448866" cy="5303520"/>
            <wp:docPr id="4" name="Picture 4"/>
            <wp:cNvGraphicFramePr>
              <a:graphicFrameLocks noChangeAspect="1"/>
            </wp:cNvGraphicFramePr>
            <a:graphic>
              <a:graphicData uri="http://schemas.openxmlformats.org/drawingml/2006/picture">
                <pic:pic>
                  <pic:nvPicPr>
                    <pic:cNvPr id="0" name="03-sequence-share.png"/>
                    <pic:cNvPicPr/>
                  </pic:nvPicPr>
                  <pic:blipFill>
                    <a:blip r:embed="rId13"/>
                    <a:stretch>
                      <a:fillRect/>
                    </a:stretch>
                  </pic:blipFill>
                  <pic:spPr>
                    <a:xfrm>
                      <a:off x="0" y="0"/>
                      <a:ext cx="3448866" cy="5303520"/>
                    </a:xfrm>
                    <a:prstGeom prst="rect"/>
                  </pic:spPr>
                </pic:pic>
              </a:graphicData>
            </a:graphic>
          </wp:inline>
        </w:drawing>
      </w:r>
    </w:p>
    <w:p>
      <w:pPr>
        <w:jc w:val="center"/>
      </w:pPr>
      <w:r>
        <w:rPr>
          <w:b/>
        </w:rPr>
        <w:t xml:space="preserve">Figure 4. </w:t>
      </w:r>
      <w:r>
        <w:rPr>
          <w:i/>
        </w:rPr>
        <w:t>Figure 4. Save a deck and create a share link.</w:t>
      </w:r>
    </w:p>
    <w:p>
      <w:r>
        <w:rPr>
          <w:b/>
        </w:rPr>
        <w:t xml:space="preserve">Purpose: </w:t>
      </w:r>
      <w:r>
        <w:t>Show Supabase writes and the opaque token.</w:t>
      </w:r>
    </w:p>
    <w:p>
      <w:r>
        <w:rPr>
          <w:b/>
        </w:rPr>
        <w:t xml:space="preserve">Assumption: </w:t>
      </w:r>
      <w:r>
        <w:t>User is already signed in.</w:t>
      </w:r>
    </w:p>
    <w:p>
      <w:r>
        <w:rPr>
          <w:b/>
        </w:rPr>
        <w:t xml:space="preserve">Limitation: </w:t>
      </w:r>
      <w:r>
        <w:t>Guest localStorage path is separate (ADR-006).</w:t>
      </w:r>
    </w:p>
    <w:p>
      <w:pPr>
        <w:pStyle w:val="Heading2"/>
      </w:pPr>
      <w:r>
        <w:t>5.5 Class: schema and deck</w:t>
      </w:r>
    </w:p>
    <w:p>
      <w:pPr>
        <w:jc w:val="center"/>
      </w:pPr>
      <w:r>
        <w:drawing>
          <wp:inline xmlns:a="http://schemas.openxmlformats.org/drawingml/2006/main" xmlns:pic="http://schemas.openxmlformats.org/drawingml/2006/picture">
            <wp:extent cx="3741642" cy="5303520"/>
            <wp:docPr id="5" name="Picture 5"/>
            <wp:cNvGraphicFramePr>
              <a:graphicFrameLocks noChangeAspect="1"/>
            </wp:cNvGraphicFramePr>
            <a:graphic>
              <a:graphicData uri="http://schemas.openxmlformats.org/drawingml/2006/picture">
                <pic:pic>
                  <pic:nvPicPr>
                    <pic:cNvPr id="0" name="04-class.png"/>
                    <pic:cNvPicPr/>
                  </pic:nvPicPr>
                  <pic:blipFill>
                    <a:blip r:embed="rId14"/>
                    <a:stretch>
                      <a:fillRect/>
                    </a:stretch>
                  </pic:blipFill>
                  <pic:spPr>
                    <a:xfrm>
                      <a:off x="0" y="0"/>
                      <a:ext cx="3741642" cy="5303520"/>
                    </a:xfrm>
                    <a:prstGeom prst="rect"/>
                  </pic:spPr>
                </pic:pic>
              </a:graphicData>
            </a:graphic>
          </wp:inline>
        </w:drawing>
      </w:r>
    </w:p>
    <w:p>
      <w:pPr>
        <w:jc w:val="center"/>
      </w:pPr>
      <w:r>
        <w:rPr>
          <w:b/>
        </w:rPr>
        <w:t xml:space="preserve">Figure 5. </w:t>
      </w:r>
      <w:r>
        <w:rPr>
          <w:i/>
        </w:rPr>
        <w:t>Figure 5. Core schema types and a deck document.</w:t>
      </w:r>
    </w:p>
    <w:p>
      <w:r>
        <w:rPr>
          <w:b/>
        </w:rPr>
        <w:t xml:space="preserve">Purpose: </w:t>
      </w:r>
      <w:r>
        <w:t>Anchor the versioned schema and format attachment points.</w:t>
      </w:r>
    </w:p>
    <w:p>
      <w:r>
        <w:rPr>
          <w:b/>
        </w:rPr>
        <w:t xml:space="preserve">Assumption: </w:t>
      </w:r>
      <w:r>
        <w:t>Yu-Gi-Oh! extension is the only game pack in v1.</w:t>
      </w:r>
    </w:p>
    <w:p>
      <w:r>
        <w:rPr>
          <w:b/>
        </w:rPr>
        <w:t xml:space="preserve">Limitation: </w:t>
      </w:r>
      <w:r>
        <w:t>Wire format field names may change in a later schema version.</w:t>
      </w:r>
    </w:p>
    <w:p>
      <w:pPr>
        <w:pStyle w:val="Heading2"/>
      </w:pPr>
      <w:r>
        <w:t>5.6 Deployment view</w:t>
      </w:r>
    </w:p>
    <w:p>
      <w:pPr>
        <w:jc w:val="center"/>
      </w:pPr>
      <w:r>
        <w:drawing>
          <wp:inline xmlns:a="http://schemas.openxmlformats.org/drawingml/2006/main" xmlns:pic="http://schemas.openxmlformats.org/drawingml/2006/picture">
            <wp:extent cx="5590197" cy="5303520"/>
            <wp:docPr id="6" name="Picture 6"/>
            <wp:cNvGraphicFramePr>
              <a:graphicFrameLocks noChangeAspect="1"/>
            </wp:cNvGraphicFramePr>
            <a:graphic>
              <a:graphicData uri="http://schemas.openxmlformats.org/drawingml/2006/picture">
                <pic:pic>
                  <pic:nvPicPr>
                    <pic:cNvPr id="0" name="05-deployment.png"/>
                    <pic:cNvPicPr/>
                  </pic:nvPicPr>
                  <pic:blipFill>
                    <a:blip r:embed="rId15"/>
                    <a:stretch>
                      <a:fillRect/>
                    </a:stretch>
                  </pic:blipFill>
                  <pic:spPr>
                    <a:xfrm>
                      <a:off x="0" y="0"/>
                      <a:ext cx="5590197" cy="5303520"/>
                    </a:xfrm>
                    <a:prstGeom prst="rect"/>
                  </pic:spPr>
                </pic:pic>
              </a:graphicData>
            </a:graphic>
          </wp:inline>
        </w:drawing>
      </w:r>
    </w:p>
    <w:p>
      <w:pPr>
        <w:jc w:val="center"/>
      </w:pPr>
      <w:r>
        <w:rPr>
          <w:b/>
        </w:rPr>
        <w:t xml:space="preserve">Figure 6. </w:t>
      </w:r>
      <w:r>
        <w:rPr>
          <w:i/>
        </w:rPr>
        <w:t>Figure 6. GitHub Pages, Actions, Supabase, and upstream.</w:t>
      </w:r>
    </w:p>
    <w:p>
      <w:r>
        <w:rPr>
          <w:b/>
        </w:rPr>
        <w:t xml:space="preserve">Purpose: </w:t>
      </w:r>
      <w:r>
        <w:t>Show trust boundaries and where secrets live.</w:t>
      </w:r>
    </w:p>
    <w:p>
      <w:r>
        <w:rPr>
          <w:b/>
        </w:rPr>
        <w:t xml:space="preserve">Assumption: </w:t>
      </w:r>
      <w:r>
        <w:t>Pages serves only HTTPS (NFR-03).</w:t>
      </w:r>
    </w:p>
    <w:p>
      <w:r>
        <w:rPr>
          <w:b/>
        </w:rPr>
        <w:t xml:space="preserve">Limitation: </w:t>
      </w:r>
      <w:r>
        <w:t>Supabase project sizing is UNVERIFIED until spike S-02.</w:t>
      </w:r>
    </w:p>
    <w:p>
      <w:pPr>
        <w:pStyle w:val="Heading2"/>
      </w:pPr>
      <w:r>
        <w:t>5.7 Screen flow</w:t>
      </w:r>
    </w:p>
    <w:p>
      <w:pPr>
        <w:jc w:val="center"/>
      </w:pPr>
      <w:r>
        <w:drawing>
          <wp:inline xmlns:a="http://schemas.openxmlformats.org/drawingml/2006/main" xmlns:pic="http://schemas.openxmlformats.org/drawingml/2006/picture">
            <wp:extent cx="1789704" cy="5303520"/>
            <wp:docPr id="7" name="Picture 7"/>
            <wp:cNvGraphicFramePr>
              <a:graphicFrameLocks noChangeAspect="1"/>
            </wp:cNvGraphicFramePr>
            <a:graphic>
              <a:graphicData uri="http://schemas.openxmlformats.org/drawingml/2006/picture">
                <pic:pic>
                  <pic:nvPicPr>
                    <pic:cNvPr id="0" name="06-screen-flow.png"/>
                    <pic:cNvPicPr/>
                  </pic:nvPicPr>
                  <pic:blipFill>
                    <a:blip r:embed="rId16"/>
                    <a:stretch>
                      <a:fillRect/>
                    </a:stretch>
                  </pic:blipFill>
                  <pic:spPr>
                    <a:xfrm>
                      <a:off x="0" y="0"/>
                      <a:ext cx="1789704" cy="5303520"/>
                    </a:xfrm>
                    <a:prstGeom prst="rect"/>
                  </pic:spPr>
                </pic:pic>
              </a:graphicData>
            </a:graphic>
          </wp:inline>
        </w:drawing>
      </w:r>
    </w:p>
    <w:p>
      <w:pPr>
        <w:jc w:val="center"/>
      </w:pPr>
      <w:r>
        <w:rPr>
          <w:b/>
        </w:rPr>
        <w:t xml:space="preserve">Figure 7. </w:t>
      </w:r>
      <w:r>
        <w:rPr>
          <w:i/>
        </w:rPr>
        <w:t>Figure 7. Primary screens and navigation.</w:t>
      </w:r>
    </w:p>
    <w:p>
      <w:r>
        <w:rPr>
          <w:b/>
        </w:rPr>
        <w:t xml:space="preserve">Purpose: </w:t>
      </w:r>
      <w:r>
        <w:t>Match the SRS screen map without repeating its table.</w:t>
      </w:r>
    </w:p>
    <w:p>
      <w:r>
        <w:rPr>
          <w:b/>
        </w:rPr>
        <w:t xml:space="preserve">Assumption: </w:t>
      </w:r>
      <w:r>
        <w:t>Base path /otcp/ with BrowserRouter and 404.html fallback.</w:t>
      </w:r>
    </w:p>
    <w:p>
      <w:r>
        <w:rPr>
          <w:b/>
        </w:rPr>
        <w:t xml:space="preserve">Limitation: </w:t>
      </w:r>
      <w:r>
        <w:t>Exact visual layout belongs in the UI stage.</w:t>
      </w:r>
    </w:p>
    <w:p>
      <w:pPr>
        <w:pStyle w:val="Heading2"/>
      </w:pPr>
      <w:r>
        <w:t>5.8 State: deck session</w:t>
      </w:r>
    </w:p>
    <w:p>
      <w:pPr>
        <w:jc w:val="center"/>
      </w:pPr>
      <w:r>
        <w:drawing>
          <wp:inline xmlns:a="http://schemas.openxmlformats.org/drawingml/2006/main" xmlns:pic="http://schemas.openxmlformats.org/drawingml/2006/picture">
            <wp:extent cx="5943600" cy="4001761"/>
            <wp:docPr id="8" name="Picture 8"/>
            <wp:cNvGraphicFramePr>
              <a:graphicFrameLocks noChangeAspect="1"/>
            </wp:cNvGraphicFramePr>
            <a:graphic>
              <a:graphicData uri="http://schemas.openxmlformats.org/drawingml/2006/picture">
                <pic:pic>
                  <pic:nvPicPr>
                    <pic:cNvPr id="0" name="07-state-deck.png"/>
                    <pic:cNvPicPr/>
                  </pic:nvPicPr>
                  <pic:blipFill>
                    <a:blip r:embed="rId17"/>
                    <a:stretch>
                      <a:fillRect/>
                    </a:stretch>
                  </pic:blipFill>
                  <pic:spPr>
                    <a:xfrm>
                      <a:off x="0" y="0"/>
                      <a:ext cx="5943600" cy="4001761"/>
                    </a:xfrm>
                    <a:prstGeom prst="rect"/>
                  </pic:spPr>
                </pic:pic>
              </a:graphicData>
            </a:graphic>
          </wp:inline>
        </w:drawing>
      </w:r>
    </w:p>
    <w:p>
      <w:pPr>
        <w:jc w:val="center"/>
      </w:pPr>
      <w:r>
        <w:rPr>
          <w:b/>
        </w:rPr>
        <w:t xml:space="preserve">Figure 8. </w:t>
      </w:r>
      <w:r>
        <w:rPr>
          <w:i/>
        </w:rPr>
        <w:t>Figure 8. Guest draft vs signed-in saved deck.</w:t>
      </w:r>
    </w:p>
    <w:p>
      <w:r>
        <w:rPr>
          <w:b/>
        </w:rPr>
        <w:t xml:space="preserve">Purpose: </w:t>
      </w:r>
      <w:r>
        <w:t>Clarify when browser storage and Supabase apply.</w:t>
      </w:r>
    </w:p>
    <w:p>
      <w:r>
        <w:rPr>
          <w:b/>
        </w:rPr>
        <w:t xml:space="preserve">Assumption: </w:t>
      </w:r>
      <w:r>
        <w:t>One active deck editor at a time in v1.</w:t>
      </w:r>
    </w:p>
    <w:p>
      <w:r>
        <w:rPr>
          <w:b/>
        </w:rPr>
        <w:t xml:space="preserve">Limitation: </w:t>
      </w:r>
      <w:r>
        <w:t>Conflict if two tabs edit the same saved deck is out of scope for v1. Guest-draft import follows the once-per-profile rules in section 6.2.</w:t>
      </w:r>
    </w:p>
    <w:p>
      <w:pPr>
        <w:pStyle w:val="Heading1"/>
        <w:pageBreakBefore/>
      </w:pPr>
      <w:r>
        <w:t>6. Behavior and contract</w:t>
      </w:r>
    </w:p>
    <w:p>
      <w:r>
        <w:t>Critical paths are typed search (QS-01), deck save for signed-in users (QS-04), share links (QS-05), and the refresh pipeline (QS-03).</w:t>
      </w:r>
    </w:p>
    <w:p>
      <w:pPr>
        <w:pStyle w:val="Heading2"/>
      </w:pPr>
      <w:r>
        <w:t>6.1 Search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Rule</w:t>
            </w:r>
          </w:p>
        </w:tc>
      </w:tr>
      <w:tr>
        <w:tc>
          <w:tcPr>
            <w:tcW w:type="dxa" w:w="2160"/>
            <w:vAlign w:val="top"/>
          </w:tcPr>
          <w:p>
            <w:pPr>
              <w:spacing w:after="40"/>
            </w:pPr>
            <w:r>
              <w:rPr>
                <w:sz w:val="19"/>
              </w:rPr>
              <w:t>Input</w:t>
            </w:r>
          </w:p>
        </w:tc>
        <w:tc>
          <w:tcPr>
            <w:tcW w:type="dxa" w:w="7200"/>
            <w:vAlign w:val="top"/>
          </w:tcPr>
          <w:p>
            <w:pPr>
              <w:spacing w:after="40"/>
            </w:pPr>
            <w:r>
              <w:rPr>
                <w:sz w:val="19"/>
              </w:rPr>
              <w:t>Keystrokes in the search field after SearchIndex reports ready</w:t>
            </w:r>
          </w:p>
        </w:tc>
      </w:tr>
      <w:tr>
        <w:tc>
          <w:tcPr>
            <w:tcW w:type="dxa" w:w="2160"/>
            <w:vAlign w:val="top"/>
          </w:tcPr>
          <w:p>
            <w:pPr>
              <w:spacing w:after="40"/>
            </w:pPr>
            <w:r>
              <w:rPr>
                <w:sz w:val="19"/>
              </w:rPr>
              <w:t>Matching</w:t>
            </w:r>
          </w:p>
        </w:tc>
        <w:tc>
          <w:tcPr>
            <w:tcW w:type="dxa" w:w="7200"/>
            <w:vAlign w:val="top"/>
          </w:tcPr>
          <w:p>
            <w:pPr>
              <w:spacing w:after="40"/>
            </w:pPr>
            <w:r>
              <w:rPr>
                <w:sz w:val="19"/>
              </w:rPr>
              <w:t>Case-insensitive substring on card name and rules-text tokens; exact match on numeric passcode / id (FR-03)</w:t>
            </w:r>
          </w:p>
        </w:tc>
      </w:tr>
      <w:tr>
        <w:tc>
          <w:tcPr>
            <w:tcW w:type="dxa" w:w="2160"/>
            <w:vAlign w:val="top"/>
          </w:tcPr>
          <w:p>
            <w:pPr>
              <w:spacing w:after="40"/>
            </w:pPr>
            <w:r>
              <w:rPr>
                <w:sz w:val="19"/>
              </w:rPr>
              <w:t>Output</w:t>
            </w:r>
          </w:p>
        </w:tc>
        <w:tc>
          <w:tcPr>
            <w:tcW w:type="dxa" w:w="7200"/>
            <w:vAlign w:val="top"/>
          </w:tcPr>
          <w:p>
            <w:pPr>
              <w:spacing w:after="40"/>
            </w:pPr>
            <w:r>
              <w:rPr>
                <w:sz w:val="19"/>
              </w:rPr>
              <w:t>Ordered list of card ids; UI renders rows from CardCatalog</w:t>
            </w:r>
          </w:p>
        </w:tc>
      </w:tr>
      <w:tr>
        <w:tc>
          <w:tcPr>
            <w:tcW w:type="dxa" w:w="2160"/>
            <w:vAlign w:val="top"/>
          </w:tcPr>
          <w:p>
            <w:pPr>
              <w:spacing w:after="40"/>
            </w:pPr>
            <w:r>
              <w:rPr>
                <w:sz w:val="19"/>
              </w:rPr>
              <w:t>Budget</w:t>
            </w:r>
          </w:p>
        </w:tc>
        <w:tc>
          <w:tcPr>
            <w:tcW w:type="dxa" w:w="7200"/>
            <w:vAlign w:val="top"/>
          </w:tcPr>
          <w:p>
            <w:pPr>
              <w:spacing w:after="40"/>
            </w:pPr>
            <w:r>
              <w:rPr>
                <w:sz w:val="19"/>
              </w:rPr>
              <w:t>Under 100 ms from last keystroke to list update on the reference phone (target, NFR-01)</w:t>
            </w:r>
          </w:p>
        </w:tc>
      </w:tr>
      <w:tr>
        <w:tc>
          <w:tcPr>
            <w:tcW w:type="dxa" w:w="2160"/>
            <w:vAlign w:val="top"/>
          </w:tcPr>
          <w:p>
            <w:pPr>
              <w:spacing w:after="40"/>
            </w:pPr>
            <w:r>
              <w:rPr>
                <w:sz w:val="19"/>
              </w:rPr>
              <w:t>Failure</w:t>
            </w:r>
          </w:p>
        </w:tc>
        <w:tc>
          <w:tcPr>
            <w:tcW w:type="dxa" w:w="7200"/>
            <w:vAlign w:val="top"/>
          </w:tcPr>
          <w:p>
            <w:pPr>
              <w:spacing w:after="40"/>
            </w:pPr>
            <w:r>
              <w:rPr>
                <w:sz w:val="19"/>
              </w:rPr>
              <w:t>If the index is not ready, show a loading state and do not time the budget</w:t>
            </w:r>
          </w:p>
        </w:tc>
      </w:tr>
    </w:tbl>
    <w:p>
      <w:pPr>
        <w:spacing w:after="40"/>
      </w:pPr>
    </w:p>
    <w:p>
      <w:r>
        <w:rPr>
          <w:b/>
          <w:color w:val="B00000"/>
        </w:rPr>
        <w:t xml:space="preserve">UNVERIFIED: </w:t>
      </w:r>
      <w:r>
        <w:t>Search latency on the reference phone is UNVERIFIED until spike S-01.</w:t>
      </w:r>
    </w:p>
    <w:p>
      <w:pPr>
        <w:pStyle w:val="Heading2"/>
      </w:pPr>
      <w:r>
        <w:t>6.2 Filter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8"/>
              </w:rPr>
              <w:t>Field</w:t>
            </w:r>
          </w:p>
        </w:tc>
        <w:tc>
          <w:tcPr>
            <w:tcW w:type="dxa" w:w="7200"/>
            <w:shd w:val="clear" w:color="auto" w:fill="D9E2F3"/>
          </w:tcPr>
          <w:p>
            <w:r/>
            <w:r>
              <w:rPr>
                <w:b/>
                <w:sz w:val="18"/>
              </w:rPr>
              <w:t>Rule</w:t>
            </w:r>
          </w:p>
        </w:tc>
      </w:tr>
      <w:tr>
        <w:tc>
          <w:tcPr>
            <w:tcW w:type="dxa" w:w="2160"/>
            <w:vAlign w:val="top"/>
          </w:tcPr>
          <w:p>
            <w:pPr>
              <w:spacing w:after="40"/>
            </w:pPr>
            <w:r>
              <w:rPr>
                <w:sz w:val="18"/>
              </w:rPr>
              <w:t>Declarations</w:t>
            </w:r>
          </w:p>
        </w:tc>
        <w:tc>
          <w:tcPr>
            <w:tcW w:type="dxa" w:w="7200"/>
            <w:vAlign w:val="top"/>
          </w:tcPr>
          <w:p>
            <w:pPr>
              <w:spacing w:after="40"/>
            </w:pPr>
            <w:r>
              <w:rPr>
                <w:sz w:val="18"/>
              </w:rPr>
              <w:t>Each game extension ships filter definitions as data: field id, control type (multi-select, range, toggle, arrow picker), group, and whether include/exclude and AND/OR are allowed. Core (any-TCG) definitions live in SchemaCore. Adding a game must not require Filter panel UI code changes (FR-56).</w:t>
            </w:r>
          </w:p>
        </w:tc>
      </w:tr>
      <w:tr>
        <w:tc>
          <w:tcPr>
            <w:tcW w:type="dxa" w:w="2160"/>
            <w:vAlign w:val="top"/>
          </w:tcPr>
          <w:p>
            <w:pPr>
              <w:spacing w:after="40"/>
            </w:pPr>
            <w:r>
              <w:rPr>
                <w:sz w:val="18"/>
              </w:rPr>
              <w:t>Engine</w:t>
            </w:r>
          </w:p>
        </w:tc>
        <w:tc>
          <w:tcPr>
            <w:tcW w:type="dxa" w:w="7200"/>
            <w:vAlign w:val="top"/>
          </w:tcPr>
          <w:p>
            <w:pPr>
              <w:spacing w:after="40"/>
            </w:pPr>
            <w:r>
              <w:rPr>
                <w:sz w:val="18"/>
              </w:rPr>
              <w:t>FilterEngine ANDs active facets (with per-group OR/AND and NOT as declared) against SearchIndex bitsets / postings and returns match ids plus a count per visible option (FR-57, FR-58).</w:t>
            </w:r>
          </w:p>
        </w:tc>
      </w:tr>
      <w:tr>
        <w:tc>
          <w:tcPr>
            <w:tcW w:type="dxa" w:w="2160"/>
            <w:vAlign w:val="top"/>
          </w:tcPr>
          <w:p>
            <w:pPr>
              <w:spacing w:after="40"/>
            </w:pPr>
            <w:r>
              <w:rPr>
                <w:sz w:val="18"/>
              </w:rPr>
              <w:t>Counts</w:t>
            </w:r>
          </w:p>
        </w:tc>
        <w:tc>
          <w:tcPr>
            <w:tcW w:type="dxa" w:w="7200"/>
            <w:vAlign w:val="top"/>
          </w:tcPr>
          <w:p>
            <w:pPr>
              <w:spacing w:after="40"/>
            </w:pPr>
            <w:r>
              <w:rPr>
                <w:sz w:val="18"/>
              </w:rPr>
              <w:t>Option counts reflect the current query with that option's own value removed from the intersection (standard faceted navigation) so users can widen or narrow. Counts and the result list share one evaluation pass where possible.</w:t>
            </w:r>
          </w:p>
        </w:tc>
      </w:tr>
      <w:tr>
        <w:tc>
          <w:tcPr>
            <w:tcW w:type="dxa" w:w="2160"/>
            <w:vAlign w:val="top"/>
          </w:tcPr>
          <w:p>
            <w:pPr>
              <w:spacing w:after="40"/>
            </w:pPr>
            <w:r>
              <w:rPr>
                <w:sz w:val="18"/>
              </w:rPr>
              <w:t>Budget</w:t>
            </w:r>
          </w:p>
        </w:tc>
        <w:tc>
          <w:tcPr>
            <w:tcW w:type="dxa" w:w="7200"/>
            <w:vAlign w:val="top"/>
          </w:tcPr>
          <w:p>
            <w:pPr>
              <w:spacing w:after="40"/>
            </w:pPr>
            <w:r>
              <w:rPr>
                <w:sz w:val="18"/>
              </w:rPr>
              <w:t>Applying a facet change and refreshing visible option counts targets the same 100 ms budget as typed search after the index is ready (NFR-01). UNVERIFIED until S-01 measures name search and facet recount on the reference phone; if recount of every option exceeds the budget, keep name search ≤100 ms and refresh off-screen facet groups lazily while keeping on-screen group counts inside the budget.</w:t>
            </w:r>
          </w:p>
        </w:tc>
      </w:tr>
      <w:tr>
        <w:tc>
          <w:tcPr>
            <w:tcW w:type="dxa" w:w="2160"/>
            <w:vAlign w:val="top"/>
          </w:tcPr>
          <w:p>
            <w:pPr>
              <w:spacing w:after="40"/>
            </w:pPr>
            <w:r>
              <w:rPr>
                <w:sz w:val="18"/>
              </w:rPr>
              <w:t>Presets</w:t>
            </w:r>
          </w:p>
        </w:tc>
        <w:tc>
          <w:tcPr>
            <w:tcW w:type="dxa" w:w="7200"/>
            <w:vAlign w:val="top"/>
          </w:tcPr>
          <w:p>
            <w:pPr>
              <w:spacing w:after="40"/>
            </w:pPr>
            <w:r>
              <w:rPr>
                <w:sz w:val="18"/>
              </w:rPr>
              <w:t>Signed-in presets are stored with the account (Should, FR-59); guests keep facets in session only.</w:t>
            </w:r>
          </w:p>
        </w:tc>
      </w:tr>
      <w:tr>
        <w:tc>
          <w:tcPr>
            <w:tcW w:type="dxa" w:w="2160"/>
            <w:vAlign w:val="top"/>
          </w:tcPr>
          <w:p>
            <w:pPr>
              <w:spacing w:after="40"/>
            </w:pPr>
            <w:r>
              <w:rPr>
                <w:sz w:val="18"/>
              </w:rPr>
              <w:t>UI binding</w:t>
            </w:r>
          </w:p>
        </w:tc>
        <w:tc>
          <w:tcPr>
            <w:tcW w:type="dxa" w:w="7200"/>
            <w:vAlign w:val="top"/>
          </w:tcPr>
          <w:p>
            <w:pPr>
              <w:spacing w:after="40"/>
            </w:pPr>
            <w:r>
              <w:rPr>
                <w:sz w:val="18"/>
              </w:rPr>
              <w:t>Desktop: left filter sidebar with collapsible groups. Phone: Filters button opens a full-screen sheet with Apply / See N results; hamburger stays for app navigation. Active facets render as removable chips above results with Clear all. Pattern: faceted search in the style of major card marketplaces.</w:t>
            </w:r>
          </w:p>
        </w:tc>
      </w:tr>
    </w:tbl>
    <w:p>
      <w:pPr>
        <w:spacing w:after="40"/>
      </w:pPr>
    </w:p>
    <w:p>
      <w:r>
        <w:rPr>
          <w:b/>
          <w:color w:val="B00000"/>
        </w:rPr>
        <w:t xml:space="preserve">UNVERIFIED: </w:t>
      </w:r>
      <w:r>
        <w:t>Facet-count refresh under 100 ms is UNVERIFIED until S-01; lazy off-screen groups are allowed per ADR-012.</w:t>
      </w:r>
    </w:p>
    <w:p>
      <w:pPr>
        <w:pStyle w:val="Heading2"/>
      </w:pPr>
      <w:r>
        <w:t>6.3 Deck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Rule</w:t>
            </w:r>
          </w:p>
        </w:tc>
      </w:tr>
      <w:tr>
        <w:tc>
          <w:tcPr>
            <w:tcW w:type="dxa" w:w="2160"/>
            <w:vAlign w:val="top"/>
          </w:tcPr>
          <w:p>
            <w:pPr>
              <w:spacing w:after="40"/>
            </w:pPr>
            <w:r>
              <w:rPr>
                <w:sz w:val="19"/>
              </w:rPr>
              <w:t>Sections</w:t>
            </w:r>
          </w:p>
        </w:tc>
        <w:tc>
          <w:tcPr>
            <w:tcW w:type="dxa" w:w="7200"/>
            <w:vAlign w:val="top"/>
          </w:tcPr>
          <w:p>
            <w:pPr>
              <w:spacing w:after="40"/>
            </w:pPr>
            <w:r>
              <w:rPr>
                <w:sz w:val="19"/>
              </w:rPr>
              <w:t>Main, Extra, Side; Speed Duel adds Skill per FR-17</w:t>
            </w:r>
          </w:p>
        </w:tc>
      </w:tr>
      <w:tr>
        <w:tc>
          <w:tcPr>
            <w:tcW w:type="dxa" w:w="2160"/>
            <w:vAlign w:val="top"/>
          </w:tcPr>
          <w:p>
            <w:pPr>
              <w:spacing w:after="40"/>
            </w:pPr>
            <w:r>
              <w:rPr>
                <w:sz w:val="19"/>
              </w:rPr>
              <w:t>Counts</w:t>
            </w:r>
          </w:p>
        </w:tc>
        <w:tc>
          <w:tcPr>
            <w:tcW w:type="dxa" w:w="7200"/>
            <w:vAlign w:val="top"/>
          </w:tcPr>
          <w:p>
            <w:pPr>
              <w:spacing w:after="40"/>
            </w:pPr>
            <w:r>
              <w:rPr>
                <w:sz w:val="19"/>
              </w:rPr>
              <w:t>Live section counts and per-card copies (FR-24)</w:t>
            </w:r>
          </w:p>
        </w:tc>
      </w:tr>
      <w:tr>
        <w:tc>
          <w:tcPr>
            <w:tcW w:type="dxa" w:w="2160"/>
            <w:vAlign w:val="top"/>
          </w:tcPr>
          <w:p>
            <w:pPr>
              <w:spacing w:after="40"/>
            </w:pPr>
            <w:r>
              <w:rPr>
                <w:sz w:val="19"/>
              </w:rPr>
              <w:t>Owned</w:t>
            </w:r>
          </w:p>
        </w:tc>
        <w:tc>
          <w:tcPr>
            <w:tcW w:type="dxa" w:w="7200"/>
            <w:vAlign w:val="top"/>
          </w:tcPr>
          <w:p>
            <w:pPr>
              <w:spacing w:after="40"/>
            </w:pPr>
            <w:r>
              <w:rPr>
                <w:sz w:val="19"/>
              </w:rPr>
              <w:t>DeckBuilder reads CollectionStore for owned/missing qty per card and can push missing qty into a WantListStore list (FR-69)</w:t>
            </w:r>
          </w:p>
        </w:tc>
      </w:tr>
      <w:tr>
        <w:tc>
          <w:tcPr>
            <w:tcW w:type="dxa" w:w="2160"/>
            <w:vAlign w:val="top"/>
          </w:tcPr>
          <w:p>
            <w:pPr>
              <w:spacing w:after="40"/>
            </w:pPr>
            <w:r>
              <w:rPr>
                <w:sz w:val="19"/>
              </w:rPr>
              <w:t>View</w:t>
            </w:r>
          </w:p>
        </w:tc>
        <w:tc>
          <w:tcPr>
            <w:tcW w:type="dxa" w:w="7200"/>
            <w:vAlign w:val="top"/>
          </w:tcPr>
          <w:p>
            <w:pPr>
              <w:spacing w:after="40"/>
            </w:pPr>
            <w:r>
              <w:rPr>
                <w:sz w:val="19"/>
              </w:rPr>
              <w:t>List/Grid toggle shared with other card views (FR-60); desktop defaults to Grid for decks</w:t>
            </w:r>
          </w:p>
        </w:tc>
      </w:tr>
      <w:tr>
        <w:tc>
          <w:tcPr>
            <w:tcW w:type="dxa" w:w="2160"/>
            <w:vAlign w:val="top"/>
          </w:tcPr>
          <w:p>
            <w:pPr>
              <w:spacing w:after="40"/>
            </w:pPr>
            <w:r>
              <w:rPr>
                <w:sz w:val="19"/>
              </w:rPr>
              <w:t>Validation</w:t>
            </w:r>
          </w:p>
        </w:tc>
        <w:tc>
          <w:tcPr>
            <w:tcW w:type="dxa" w:w="7200"/>
            <w:vAlign w:val="top"/>
          </w:tcPr>
          <w:p>
            <w:pPr>
              <w:spacing w:after="40"/>
            </w:pPr>
            <w:r>
              <w:rPr>
                <w:sz w:val="19"/>
              </w:rPr>
              <w:t>FormatEngine checks pool, ban status, Genesys cap, and Speed rules (FR-25)</w:t>
            </w:r>
          </w:p>
        </w:tc>
      </w:tr>
      <w:tr>
        <w:tc>
          <w:tcPr>
            <w:tcW w:type="dxa" w:w="2160"/>
            <w:vAlign w:val="top"/>
          </w:tcPr>
          <w:p>
            <w:pPr>
              <w:spacing w:after="40"/>
            </w:pPr>
            <w:r>
              <w:rPr>
                <w:sz w:val="19"/>
              </w:rPr>
              <w:t>Guest storage</w:t>
            </w:r>
          </w:p>
        </w:tc>
        <w:tc>
          <w:tcPr>
            <w:tcW w:type="dxa" w:w="7200"/>
            <w:vAlign w:val="top"/>
          </w:tcPr>
          <w:p>
            <w:pPr>
              <w:spacing w:after="40"/>
            </w:pPr>
            <w:r>
              <w:rPr>
                <w:sz w:val="19"/>
              </w:rPr>
              <w:t>Browser storage only until sign-in (FR-27). Retention: until site data is cleared, the draft is imported after sign-in, or the single draft slot is overwritten. Not covered by OD-10.</w:t>
            </w:r>
          </w:p>
        </w:tc>
      </w:tr>
      <w:tr>
        <w:tc>
          <w:tcPr>
            <w:tcW w:type="dxa" w:w="2160"/>
            <w:vAlign w:val="top"/>
          </w:tcPr>
          <w:p>
            <w:pPr>
              <w:spacing w:after="40"/>
            </w:pPr>
            <w:r>
              <w:rPr>
                <w:sz w:val="19"/>
              </w:rPr>
              <w:t>Guest import</w:t>
            </w:r>
          </w:p>
        </w:tc>
        <w:tc>
          <w:tcPr>
            <w:tcW w:type="dxa" w:w="7200"/>
            <w:vAlign w:val="top"/>
          </w:tcPr>
          <w:p>
            <w:pPr>
              <w:spacing w:after="40"/>
            </w:pPr>
            <w:r>
              <w:rPr>
                <w:sz w:val="19"/>
              </w:rPr>
              <w:t>After first sign-in on a browser profile, offer import of the local draft once. Decline dismisses permanently for that draft id. Never overwrite a saved deck without an explicit replace confirmation.</w:t>
            </w:r>
          </w:p>
        </w:tc>
      </w:tr>
      <w:tr>
        <w:tc>
          <w:tcPr>
            <w:tcW w:type="dxa" w:w="2160"/>
            <w:vAlign w:val="top"/>
          </w:tcPr>
          <w:p>
            <w:pPr>
              <w:spacing w:after="40"/>
            </w:pPr>
            <w:r>
              <w:rPr>
                <w:sz w:val="19"/>
              </w:rPr>
              <w:t>Saved storage</w:t>
            </w:r>
          </w:p>
        </w:tc>
        <w:tc>
          <w:tcPr>
            <w:tcW w:type="dxa" w:w="7200"/>
            <w:vAlign w:val="top"/>
          </w:tcPr>
          <w:p>
            <w:pPr>
              <w:spacing w:after="40"/>
            </w:pPr>
            <w:r>
              <w:rPr>
                <w:sz w:val="19"/>
              </w:rPr>
              <w:t>Supabase row owned by auth.uid(); never in the static Pages bucket (NFR-04)</w:t>
            </w:r>
          </w:p>
        </w:tc>
      </w:tr>
      <w:tr>
        <w:tc>
          <w:tcPr>
            <w:tcW w:type="dxa" w:w="2160"/>
            <w:vAlign w:val="top"/>
          </w:tcPr>
          <w:p>
            <w:pPr>
              <w:spacing w:after="40"/>
            </w:pPr>
            <w:r>
              <w:rPr>
                <w:sz w:val="19"/>
              </w:rPr>
              <w:t>Repository</w:t>
            </w:r>
          </w:p>
        </w:tc>
        <w:tc>
          <w:tcPr>
            <w:tcW w:type="dxa" w:w="7200"/>
            <w:vAlign w:val="top"/>
          </w:tcPr>
          <w:p>
            <w:pPr>
              <w:spacing w:after="40"/>
            </w:pPr>
            <w:r>
              <w:rPr>
                <w:sz w:val="19"/>
              </w:rPr>
              <w:t>All signed-in deck I/O goes through DeckStore. The UI never calls Supabase tables or RPCs directly.</w:t>
            </w:r>
          </w:p>
        </w:tc>
      </w:tr>
    </w:tbl>
    <w:p>
      <w:pPr>
        <w:spacing w:after="40"/>
      </w:pPr>
    </w:p>
    <w:p>
      <w:r>
        <w:rPr>
          <w:b/>
        </w:rPr>
        <w:t>DeckStore API</w:t>
      </w:r>
      <w:r>
        <w:t xml:space="preserve"> (signed-in path)</w:t>
      </w:r>
    </w:p>
    <w:tbl>
      <w:tblPr>
        <w:tblStyle w:val="TableGrid"/>
        <w:tblW w:type="auto" w:w="0"/>
        <w:tblLayout w:type="fixed"/>
        <w:tblLook w:firstColumn="1" w:firstRow="1" w:lastColumn="0" w:lastRow="0" w:noHBand="0" w:noVBand="1" w:val="04A0"/>
      </w:tblPr>
      <w:tblGrid>
        <w:gridCol w:w="1728"/>
        <w:gridCol w:w="7632"/>
      </w:tblGrid>
      <w:tr>
        <w:trPr>
          <w:tblHeader w:val="true"/>
        </w:trPr>
        <w:tc>
          <w:tcPr>
            <w:tcW w:type="dxa" w:w="1728"/>
            <w:shd w:val="clear" w:color="auto" w:fill="D9E2F3"/>
          </w:tcPr>
          <w:p>
            <w:r/>
            <w:r>
              <w:rPr>
                <w:b/>
                <w:sz w:val="18"/>
              </w:rPr>
              <w:t>Operation</w:t>
            </w:r>
          </w:p>
        </w:tc>
        <w:tc>
          <w:tcPr>
            <w:tcW w:type="dxa" w:w="7632"/>
            <w:shd w:val="clear" w:color="auto" w:fill="D9E2F3"/>
          </w:tcPr>
          <w:p>
            <w:r/>
            <w:r>
              <w:rPr>
                <w:b/>
                <w:sz w:val="18"/>
              </w:rPr>
              <w:t>Contract</w:t>
            </w:r>
          </w:p>
        </w:tc>
      </w:tr>
      <w:tr>
        <w:tc>
          <w:tcPr>
            <w:tcW w:type="dxa" w:w="1728"/>
            <w:vAlign w:val="top"/>
          </w:tcPr>
          <w:p>
            <w:pPr>
              <w:spacing w:after="40"/>
            </w:pPr>
            <w:r>
              <w:rPr>
                <w:sz w:val="18"/>
              </w:rPr>
              <w:t>save</w:t>
            </w:r>
          </w:p>
        </w:tc>
        <w:tc>
          <w:tcPr>
            <w:tcW w:type="dxa" w:w="7632"/>
            <w:vAlign w:val="top"/>
          </w:tcPr>
          <w:p>
            <w:pPr>
              <w:spacing w:after="40"/>
            </w:pPr>
            <w:r>
              <w:rPr>
                <w:sz w:val="18"/>
              </w:rPr>
              <w:t>Inputs: deck document. Outcomes: {ok, id} | {unauthorized} | {error, code, message, retryable}</w:t>
            </w:r>
          </w:p>
        </w:tc>
      </w:tr>
      <w:tr>
        <w:tc>
          <w:tcPr>
            <w:tcW w:type="dxa" w:w="1728"/>
            <w:vAlign w:val="top"/>
          </w:tcPr>
          <w:p>
            <w:pPr>
              <w:spacing w:after="40"/>
            </w:pPr>
            <w:r>
              <w:rPr>
                <w:sz w:val="18"/>
              </w:rPr>
              <w:t>list</w:t>
            </w:r>
          </w:p>
        </w:tc>
        <w:tc>
          <w:tcPr>
            <w:tcW w:type="dxa" w:w="7632"/>
            <w:vAlign w:val="top"/>
          </w:tcPr>
          <w:p>
            <w:pPr>
              <w:spacing w:after="40"/>
            </w:pPr>
            <w:r>
              <w:rPr>
                <w:sz w:val="18"/>
              </w:rPr>
              <w:t>Inputs: none (session user). Outcomes: {ok, decks[]} | {unauthorized} | {error, code, message, retryable}</w:t>
            </w:r>
          </w:p>
        </w:tc>
      </w:tr>
      <w:tr>
        <w:tc>
          <w:tcPr>
            <w:tcW w:type="dxa" w:w="1728"/>
            <w:vAlign w:val="top"/>
          </w:tcPr>
          <w:p>
            <w:pPr>
              <w:spacing w:after="40"/>
            </w:pPr>
            <w:r>
              <w:rPr>
                <w:sz w:val="18"/>
              </w:rPr>
              <w:t>load</w:t>
            </w:r>
          </w:p>
        </w:tc>
        <w:tc>
          <w:tcPr>
            <w:tcW w:type="dxa" w:w="7632"/>
            <w:vAlign w:val="top"/>
          </w:tcPr>
          <w:p>
            <w:pPr>
              <w:spacing w:after="40"/>
            </w:pPr>
            <w:r>
              <w:rPr>
                <w:sz w:val="18"/>
              </w:rPr>
              <w:t>Inputs: deck id. Outcomes: {ok, deck} | {notFound} | {unauthorized} | {error, code, message, retryable}</w:t>
            </w:r>
          </w:p>
        </w:tc>
      </w:tr>
      <w:tr>
        <w:tc>
          <w:tcPr>
            <w:tcW w:type="dxa" w:w="1728"/>
            <w:vAlign w:val="top"/>
          </w:tcPr>
          <w:p>
            <w:pPr>
              <w:spacing w:after="40"/>
            </w:pPr>
            <w:r>
              <w:rPr>
                <w:sz w:val="18"/>
              </w:rPr>
              <w:t>rename</w:t>
            </w:r>
          </w:p>
        </w:tc>
        <w:tc>
          <w:tcPr>
            <w:tcW w:type="dxa" w:w="7632"/>
            <w:vAlign w:val="top"/>
          </w:tcPr>
          <w:p>
            <w:pPr>
              <w:spacing w:after="40"/>
            </w:pPr>
            <w:r>
              <w:rPr>
                <w:sz w:val="18"/>
              </w:rPr>
              <w:t>Inputs: deck id, name. Outcomes: {ok} | {notFound} | {unauthorized} | {error, code, message, retryable}</w:t>
            </w:r>
          </w:p>
        </w:tc>
      </w:tr>
      <w:tr>
        <w:tc>
          <w:tcPr>
            <w:tcW w:type="dxa" w:w="1728"/>
            <w:vAlign w:val="top"/>
          </w:tcPr>
          <w:p>
            <w:pPr>
              <w:spacing w:after="40"/>
            </w:pPr>
            <w:r>
              <w:rPr>
                <w:sz w:val="18"/>
              </w:rPr>
              <w:t>delete</w:t>
            </w:r>
          </w:p>
        </w:tc>
        <w:tc>
          <w:tcPr>
            <w:tcW w:type="dxa" w:w="7632"/>
            <w:vAlign w:val="top"/>
          </w:tcPr>
          <w:p>
            <w:pPr>
              <w:spacing w:after="40"/>
            </w:pPr>
            <w:r>
              <w:rPr>
                <w:sz w:val="18"/>
              </w:rPr>
              <w:t>Inputs: deck id. Outcomes: {ok} | {notFound} | {unauthorized} | {error, code, message, retryable}. Cascades share_links for that deck.</w:t>
            </w:r>
          </w:p>
        </w:tc>
      </w:tr>
    </w:tbl>
    <w:p>
      <w:pPr>
        <w:spacing w:after="40"/>
      </w:pPr>
    </w:p>
    <w:p>
      <w:pPr>
        <w:pStyle w:val="Heading2"/>
      </w:pPr>
      <w:r>
        <w:t>6.4 Want list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8"/>
              </w:rPr>
              <w:t>Field</w:t>
            </w:r>
          </w:p>
        </w:tc>
        <w:tc>
          <w:tcPr>
            <w:tcW w:type="dxa" w:w="7200"/>
            <w:shd w:val="clear" w:color="auto" w:fill="D9E2F3"/>
          </w:tcPr>
          <w:p>
            <w:r/>
            <w:r>
              <w:rPr>
                <w:b/>
                <w:sz w:val="18"/>
              </w:rPr>
              <w:t>Rule</w:t>
            </w:r>
          </w:p>
        </w:tc>
      </w:tr>
      <w:tr>
        <w:tc>
          <w:tcPr>
            <w:tcW w:type="dxa" w:w="2160"/>
            <w:vAlign w:val="top"/>
          </w:tcPr>
          <w:p>
            <w:pPr>
              <w:spacing w:after="40"/>
            </w:pPr>
            <w:r>
              <w:rPr>
                <w:sz w:val="18"/>
              </w:rPr>
              <w:t>Document</w:t>
            </w:r>
          </w:p>
        </w:tc>
        <w:tc>
          <w:tcPr>
            <w:tcW w:type="dxa" w:w="7200"/>
            <w:vAlign w:val="top"/>
          </w:tcPr>
          <w:p>
            <w:pPr>
              <w:spacing w:after="40"/>
            </w:pPr>
            <w:r>
              <w:rPr>
                <w:sz w:val="18"/>
              </w:rPr>
              <w:t>Named list; items have card_id, quantity, optional target_set/target_rarity, note, acquired flag (FR-61)</w:t>
            </w:r>
          </w:p>
        </w:tc>
      </w:tr>
      <w:tr>
        <w:tc>
          <w:tcPr>
            <w:tcW w:type="dxa" w:w="2160"/>
            <w:vAlign w:val="top"/>
          </w:tcPr>
          <w:p>
            <w:pPr>
              <w:spacing w:after="40"/>
            </w:pPr>
            <w:r>
              <w:rPr>
                <w:sz w:val="18"/>
              </w:rPr>
              <w:t>Price total</w:t>
            </w:r>
          </w:p>
        </w:tc>
        <w:tc>
          <w:tcPr>
            <w:tcW w:type="dxa" w:w="7200"/>
            <w:vAlign w:val="top"/>
          </w:tcPr>
          <w:p>
            <w:pPr>
              <w:spacing w:after="40"/>
            </w:pPr>
            <w:r>
              <w:rPr>
                <w:sz w:val="18"/>
              </w:rPr>
              <w:t>Sum of published YGOPRODeck snapshot unit prices × remaining (non-acquired) quantities (FR-62); no live vendor API</w:t>
            </w:r>
          </w:p>
        </w:tc>
      </w:tr>
      <w:tr>
        <w:tc>
          <w:tcPr>
            <w:tcW w:type="dxa" w:w="2160"/>
            <w:vAlign w:val="top"/>
          </w:tcPr>
          <w:p>
            <w:pPr>
              <w:spacing w:after="40"/>
            </w:pPr>
            <w:r>
              <w:rPr>
                <w:sz w:val="18"/>
              </w:rPr>
              <w:t>Check-off</w:t>
            </w:r>
          </w:p>
        </w:tc>
        <w:tc>
          <w:tcPr>
            <w:tcW w:type="dxa" w:w="7200"/>
            <w:vAlign w:val="top"/>
          </w:tcPr>
          <w:p>
            <w:pPr>
              <w:spacing w:after="40"/>
            </w:pPr>
            <w:r>
              <w:rPr>
                <w:sz w:val="18"/>
              </w:rPr>
              <w:t>Marking acquired may optionally add the printing into CollectionStore (FR-63)</w:t>
            </w:r>
          </w:p>
        </w:tc>
      </w:tr>
      <w:tr>
        <w:tc>
          <w:tcPr>
            <w:tcW w:type="dxa" w:w="2160"/>
            <w:vAlign w:val="top"/>
          </w:tcPr>
          <w:p>
            <w:pPr>
              <w:spacing w:after="40"/>
            </w:pPr>
            <w:r>
              <w:rPr>
                <w:sz w:val="18"/>
              </w:rPr>
              <w:t>Share</w:t>
            </w:r>
          </w:p>
        </w:tc>
        <w:tc>
          <w:tcPr>
            <w:tcW w:type="dxa" w:w="7200"/>
            <w:vAlign w:val="top"/>
          </w:tcPr>
          <w:p>
            <w:pPr>
              <w:spacing w:after="40"/>
            </w:pPr>
            <w:r>
              <w:rPr>
                <w:sz w:val="18"/>
              </w:rPr>
              <w:t>Same opaque revocable read-only share as decks via ShareService with target_kind=want_list (FR-64, ADR-007)</w:t>
            </w:r>
          </w:p>
        </w:tc>
      </w:tr>
      <w:tr>
        <w:tc>
          <w:tcPr>
            <w:tcW w:type="dxa" w:w="2160"/>
            <w:vAlign w:val="top"/>
          </w:tcPr>
          <w:p>
            <w:pPr>
              <w:spacing w:after="40"/>
            </w:pPr>
            <w:r>
              <w:rPr>
                <w:sz w:val="18"/>
              </w:rPr>
              <w:t>Export</w:t>
            </w:r>
          </w:p>
        </w:tc>
        <w:tc>
          <w:tcPr>
            <w:tcW w:type="dxa" w:w="7200"/>
            <w:vAlign w:val="top"/>
          </w:tcPr>
          <w:p>
            <w:pPr>
              <w:spacing w:after="40"/>
            </w:pPr>
            <w:r>
              <w:rPr>
                <w:sz w:val="18"/>
              </w:rPr>
              <w:t>TCGplayer Mass Entry and plain text via ExportCodec (FR-65)</w:t>
            </w:r>
          </w:p>
        </w:tc>
      </w:tr>
      <w:tr>
        <w:tc>
          <w:tcPr>
            <w:tcW w:type="dxa" w:w="2160"/>
            <w:vAlign w:val="top"/>
          </w:tcPr>
          <w:p>
            <w:pPr>
              <w:spacing w:after="40"/>
            </w:pPr>
            <w:r>
              <w:rPr>
                <w:sz w:val="18"/>
              </w:rPr>
              <w:t>Guest</w:t>
            </w:r>
          </w:p>
        </w:tc>
        <w:tc>
          <w:tcPr>
            <w:tcW w:type="dxa" w:w="7200"/>
            <w:vAlign w:val="top"/>
          </w:tcPr>
          <w:p>
            <w:pPr>
              <w:spacing w:after="40"/>
            </w:pPr>
            <w:r>
              <w:rPr>
                <w:sz w:val="18"/>
              </w:rPr>
              <w:t>Browser storage until sign-in; save/share require account (FR-70)</w:t>
            </w:r>
          </w:p>
        </w:tc>
      </w:tr>
      <w:tr>
        <w:tc>
          <w:tcPr>
            <w:tcW w:type="dxa" w:w="2160"/>
            <w:vAlign w:val="top"/>
          </w:tcPr>
          <w:p>
            <w:pPr>
              <w:spacing w:after="40"/>
            </w:pPr>
            <w:r>
              <w:rPr>
                <w:sz w:val="18"/>
              </w:rPr>
              <w:t>Repository</w:t>
            </w:r>
          </w:p>
        </w:tc>
        <w:tc>
          <w:tcPr>
            <w:tcW w:type="dxa" w:w="7200"/>
            <w:vAlign w:val="top"/>
          </w:tcPr>
          <w:p>
            <w:pPr>
              <w:spacing w:after="40"/>
            </w:pPr>
            <w:r>
              <w:rPr>
                <w:sz w:val="18"/>
              </w:rPr>
              <w:t>All signed-in want-list I/O goes through WantListStore</w:t>
            </w:r>
          </w:p>
        </w:tc>
      </w:tr>
    </w:tbl>
    <w:p>
      <w:pPr>
        <w:spacing w:after="40"/>
      </w:pPr>
    </w:p>
    <w:p>
      <w:r>
        <w:rPr>
          <w:b/>
        </w:rPr>
        <w:t>WantListStore API</w:t>
      </w:r>
      <w:r>
        <w:t xml:space="preserve"> (signed-in path)</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8"/>
              </w:rPr>
              <w:t>Operation</w:t>
            </w:r>
          </w:p>
        </w:tc>
        <w:tc>
          <w:tcPr>
            <w:tcW w:type="dxa" w:w="7056"/>
            <w:shd w:val="clear" w:color="auto" w:fill="D9E2F3"/>
          </w:tcPr>
          <w:p>
            <w:r/>
            <w:r>
              <w:rPr>
                <w:b/>
                <w:sz w:val="18"/>
              </w:rPr>
              <w:t>Contract</w:t>
            </w:r>
          </w:p>
        </w:tc>
      </w:tr>
      <w:tr>
        <w:tc>
          <w:tcPr>
            <w:tcW w:type="dxa" w:w="2304"/>
            <w:vAlign w:val="top"/>
          </w:tcPr>
          <w:p>
            <w:pPr>
              <w:spacing w:after="40"/>
            </w:pPr>
            <w:r>
              <w:rPr>
                <w:sz w:val="18"/>
              </w:rPr>
              <w:t>save / list / load / rename / delete</w:t>
            </w:r>
          </w:p>
        </w:tc>
        <w:tc>
          <w:tcPr>
            <w:tcW w:type="dxa" w:w="7056"/>
            <w:vAlign w:val="top"/>
          </w:tcPr>
          <w:p>
            <w:pPr>
              <w:spacing w:after="40"/>
            </w:pPr>
            <w:r>
              <w:rPr>
                <w:sz w:val="18"/>
              </w:rPr>
              <w:t>Same outcome shape as DeckStore; delete cascades want_list_items and share_links for that list</w:t>
            </w:r>
          </w:p>
        </w:tc>
      </w:tr>
      <w:tr>
        <w:tc>
          <w:tcPr>
            <w:tcW w:type="dxa" w:w="2304"/>
            <w:vAlign w:val="top"/>
          </w:tcPr>
          <w:p>
            <w:pPr>
              <w:spacing w:after="40"/>
            </w:pPr>
            <w:r>
              <w:rPr>
                <w:sz w:val="18"/>
              </w:rPr>
              <w:t>upsert_item</w:t>
            </w:r>
          </w:p>
        </w:tc>
        <w:tc>
          <w:tcPr>
            <w:tcW w:type="dxa" w:w="7056"/>
            <w:vAlign w:val="top"/>
          </w:tcPr>
          <w:p>
            <w:pPr>
              <w:spacing w:after="40"/>
            </w:pPr>
            <w:r>
              <w:rPr>
                <w:sz w:val="18"/>
              </w:rPr>
              <w:t>Inputs: want_list id, item fields (purchase_price?, condition?, variants?, my_value?). Outcomes: {ok, item} | {notFound} | {unauthorized} | {error, code, message, retryable}</w:t>
            </w:r>
          </w:p>
        </w:tc>
      </w:tr>
      <w:tr>
        <w:tc>
          <w:tcPr>
            <w:tcW w:type="dxa" w:w="2304"/>
            <w:vAlign w:val="top"/>
          </w:tcPr>
          <w:p>
            <w:pPr>
              <w:spacing w:after="40"/>
            </w:pPr>
            <w:r>
              <w:rPr>
                <w:sz w:val="18"/>
              </w:rPr>
              <w:t>checkoff</w:t>
            </w:r>
          </w:p>
        </w:tc>
        <w:tc>
          <w:tcPr>
            <w:tcW w:type="dxa" w:w="7056"/>
            <w:vAlign w:val="top"/>
          </w:tcPr>
          <w:p>
            <w:pPr>
              <w:spacing w:after="40"/>
            </w:pPr>
            <w:r>
              <w:rPr>
                <w:sz w:val="18"/>
              </w:rPr>
              <w:t>Inputs: item id, acquired bool, optional add_to_collection, optional copy purchase_price to collection (REC-TABLE-02). Outcomes: {ok} | {notFound} | {unauthorized} | {error, ...}</w:t>
            </w:r>
          </w:p>
        </w:tc>
      </w:tr>
    </w:tbl>
    <w:p>
      <w:pPr>
        <w:spacing w:after="40"/>
      </w:pPr>
    </w:p>
    <w:p>
      <w:pPr>
        <w:pStyle w:val="Heading2"/>
      </w:pPr>
      <w:r>
        <w:t>6.5 Collection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8"/>
              </w:rPr>
              <w:t>Field</w:t>
            </w:r>
          </w:p>
        </w:tc>
        <w:tc>
          <w:tcPr>
            <w:tcW w:type="dxa" w:w="7200"/>
            <w:shd w:val="clear" w:color="auto" w:fill="D9E2F3"/>
          </w:tcPr>
          <w:p>
            <w:r/>
            <w:r>
              <w:rPr>
                <w:b/>
                <w:sz w:val="18"/>
              </w:rPr>
              <w:t>Rule</w:t>
            </w:r>
          </w:p>
        </w:tc>
      </w:tr>
      <w:tr>
        <w:tc>
          <w:tcPr>
            <w:tcW w:type="dxa" w:w="2160"/>
            <w:vAlign w:val="top"/>
          </w:tcPr>
          <w:p>
            <w:pPr>
              <w:spacing w:after="40"/>
            </w:pPr>
            <w:r>
              <w:rPr>
                <w:sz w:val="18"/>
              </w:rPr>
              <w:t>Document</w:t>
            </w:r>
          </w:p>
        </w:tc>
        <w:tc>
          <w:tcPr>
            <w:tcW w:type="dxa" w:w="7200"/>
            <w:vAlign w:val="top"/>
          </w:tcPr>
          <w:p>
            <w:pPr>
              <w:spacing w:after="40"/>
            </w:pPr>
            <w:r>
              <w:rPr>
                <w:sz w:val="18"/>
              </w:rPr>
              <w:t>One row per (card_id, set_code, rarity) with quantity (FR-66); unique constraint enforces merge on add</w:t>
            </w:r>
          </w:p>
        </w:tc>
      </w:tr>
      <w:tr>
        <w:tc>
          <w:tcPr>
            <w:tcW w:type="dxa" w:w="2160"/>
            <w:vAlign w:val="top"/>
          </w:tcPr>
          <w:p>
            <w:pPr>
              <w:spacing w:after="40"/>
            </w:pPr>
            <w:r>
              <w:rPr>
                <w:sz w:val="18"/>
              </w:rPr>
              <w:t>Add paths</w:t>
            </w:r>
          </w:p>
        </w:tc>
        <w:tc>
          <w:tcPr>
            <w:tcW w:type="dxa" w:w="7200"/>
            <w:vAlign w:val="top"/>
          </w:tcPr>
          <w:p>
            <w:pPr>
              <w:spacing w:after="40"/>
            </w:pPr>
            <w:r>
              <w:rPr>
                <w:sz w:val="18"/>
              </w:rPr>
              <w:t>Search results, card detail, and deck builder (FR-67); bulk plain-text import is Should (FR-68)</w:t>
            </w:r>
          </w:p>
        </w:tc>
      </w:tr>
      <w:tr>
        <w:tc>
          <w:tcPr>
            <w:tcW w:type="dxa" w:w="2160"/>
            <w:vAlign w:val="top"/>
          </w:tcPr>
          <w:p>
            <w:pPr>
              <w:spacing w:after="40"/>
            </w:pPr>
            <w:r>
              <w:rPr>
                <w:sz w:val="18"/>
              </w:rPr>
              <w:t>Guest</w:t>
            </w:r>
          </w:p>
        </w:tc>
        <w:tc>
          <w:tcPr>
            <w:tcW w:type="dxa" w:w="7200"/>
            <w:vAlign w:val="top"/>
          </w:tcPr>
          <w:p>
            <w:pPr>
              <w:spacing w:after="40"/>
            </w:pPr>
            <w:r>
              <w:rPr>
                <w:sz w:val="18"/>
              </w:rPr>
              <w:t>Browser storage until sign-in; save requires account (FR-70)</w:t>
            </w:r>
          </w:p>
        </w:tc>
      </w:tr>
      <w:tr>
        <w:tc>
          <w:tcPr>
            <w:tcW w:type="dxa" w:w="2160"/>
            <w:vAlign w:val="top"/>
          </w:tcPr>
          <w:p>
            <w:pPr>
              <w:spacing w:after="40"/>
            </w:pPr>
            <w:r>
              <w:rPr>
                <w:sz w:val="18"/>
              </w:rPr>
              <w:t>Out of v1</w:t>
            </w:r>
          </w:p>
        </w:tc>
        <w:tc>
          <w:tcPr>
            <w:tcW w:type="dxa" w:w="7200"/>
            <w:vAlign w:val="top"/>
          </w:tcPr>
          <w:p>
            <w:pPr>
              <w:spacing w:after="40"/>
            </w:pPr>
            <w:r>
              <w:rPr>
                <w:sz w:val="18"/>
              </w:rPr>
              <w:t>Condition, graded cards, value history, third-party collection importers (ADR-013)</w:t>
            </w:r>
          </w:p>
        </w:tc>
      </w:tr>
      <w:tr>
        <w:tc>
          <w:tcPr>
            <w:tcW w:type="dxa" w:w="2160"/>
            <w:vAlign w:val="top"/>
          </w:tcPr>
          <w:p>
            <w:pPr>
              <w:spacing w:after="40"/>
            </w:pPr>
            <w:r>
              <w:rPr>
                <w:sz w:val="18"/>
              </w:rPr>
              <w:t>Repository</w:t>
            </w:r>
          </w:p>
        </w:tc>
        <w:tc>
          <w:tcPr>
            <w:tcW w:type="dxa" w:w="7200"/>
            <w:vAlign w:val="top"/>
          </w:tcPr>
          <w:p>
            <w:pPr>
              <w:spacing w:after="40"/>
            </w:pPr>
            <w:r>
              <w:rPr>
                <w:sz w:val="18"/>
              </w:rPr>
              <w:t>All signed-in collection I/O goes through CollectionStore</w:t>
            </w:r>
          </w:p>
        </w:tc>
      </w:tr>
    </w:tbl>
    <w:p>
      <w:pPr>
        <w:spacing w:after="40"/>
      </w:pPr>
    </w:p>
    <w:p>
      <w:r>
        <w:rPr>
          <w:b/>
        </w:rPr>
        <w:t>CollectionStore API</w:t>
      </w:r>
      <w:r>
        <w:t xml:space="preserve"> (signed-in path)</w:t>
      </w:r>
    </w:p>
    <w:tbl>
      <w:tblPr>
        <w:tblStyle w:val="TableGrid"/>
        <w:tblW w:type="auto" w:w="0"/>
        <w:tblLayout w:type="fixed"/>
        <w:tblLook w:firstColumn="1" w:firstRow="1" w:lastColumn="0" w:lastRow="0" w:noHBand="0" w:noVBand="1" w:val="04A0"/>
      </w:tblPr>
      <w:tblGrid>
        <w:gridCol w:w="2016"/>
        <w:gridCol w:w="7344"/>
      </w:tblGrid>
      <w:tr>
        <w:trPr>
          <w:tblHeader w:val="true"/>
        </w:trPr>
        <w:tc>
          <w:tcPr>
            <w:tcW w:type="dxa" w:w="2016"/>
            <w:shd w:val="clear" w:color="auto" w:fill="D9E2F3"/>
          </w:tcPr>
          <w:p>
            <w:r/>
            <w:r>
              <w:rPr>
                <w:b/>
                <w:sz w:val="18"/>
              </w:rPr>
              <w:t>Operation</w:t>
            </w:r>
          </w:p>
        </w:tc>
        <w:tc>
          <w:tcPr>
            <w:tcW w:type="dxa" w:w="7344"/>
            <w:shd w:val="clear" w:color="auto" w:fill="D9E2F3"/>
          </w:tcPr>
          <w:p>
            <w:r/>
            <w:r>
              <w:rPr>
                <w:b/>
                <w:sz w:val="18"/>
              </w:rPr>
              <w:t>Contract</w:t>
            </w:r>
          </w:p>
        </w:tc>
      </w:tr>
      <w:tr>
        <w:tc>
          <w:tcPr>
            <w:tcW w:type="dxa" w:w="2016"/>
            <w:vAlign w:val="top"/>
          </w:tcPr>
          <w:p>
            <w:pPr>
              <w:spacing w:after="40"/>
            </w:pPr>
            <w:r>
              <w:rPr>
                <w:sz w:val="18"/>
              </w:rPr>
              <w:t>list</w:t>
            </w:r>
          </w:p>
        </w:tc>
        <w:tc>
          <w:tcPr>
            <w:tcW w:type="dxa" w:w="7344"/>
            <w:vAlign w:val="top"/>
          </w:tcPr>
          <w:p>
            <w:pPr>
              <w:spacing w:after="40"/>
            </w:pPr>
            <w:r>
              <w:rPr>
                <w:sz w:val="18"/>
              </w:rPr>
              <w:t>Outcomes: {ok, items[]} | {unauthorized} | {error, ...}</w:t>
            </w:r>
          </w:p>
        </w:tc>
      </w:tr>
      <w:tr>
        <w:tc>
          <w:tcPr>
            <w:tcW w:type="dxa" w:w="2016"/>
            <w:vAlign w:val="top"/>
          </w:tcPr>
          <w:p>
            <w:pPr>
              <w:spacing w:after="40"/>
            </w:pPr>
            <w:r>
              <w:rPr>
                <w:sz w:val="18"/>
              </w:rPr>
              <w:t>upsert</w:t>
            </w:r>
          </w:p>
        </w:tc>
        <w:tc>
          <w:tcPr>
            <w:tcW w:type="dxa" w:w="7344"/>
            <w:vAlign w:val="top"/>
          </w:tcPr>
          <w:p>
            <w:pPr>
              <w:spacing w:after="40"/>
            </w:pPr>
            <w:r>
              <w:rPr>
                <w:sz w:val="18"/>
              </w:rPr>
              <w:t>Inputs: card_id, set_code, rarity, quantity, purchase_price?, condition?, variant flags?, my_value? (merge on unique key). Outcomes: {ok, item} | {unauthorized} | {error, ...}</w:t>
            </w:r>
          </w:p>
        </w:tc>
      </w:tr>
      <w:tr>
        <w:tc>
          <w:tcPr>
            <w:tcW w:type="dxa" w:w="2016"/>
            <w:vAlign w:val="top"/>
          </w:tcPr>
          <w:p>
            <w:pPr>
              <w:spacing w:after="40"/>
            </w:pPr>
            <w:r>
              <w:rPr>
                <w:sz w:val="18"/>
              </w:rPr>
              <w:t>remove</w:t>
            </w:r>
          </w:p>
        </w:tc>
        <w:tc>
          <w:tcPr>
            <w:tcW w:type="dxa" w:w="7344"/>
            <w:vAlign w:val="top"/>
          </w:tcPr>
          <w:p>
            <w:pPr>
              <w:spacing w:after="40"/>
            </w:pPr>
            <w:r>
              <w:rPr>
                <w:sz w:val="18"/>
              </w:rPr>
              <w:t>Inputs: item id. Outcomes: {ok} | {notFound} | {unauthorized} | {error, ...}</w:t>
            </w:r>
          </w:p>
        </w:tc>
      </w:tr>
      <w:tr>
        <w:tc>
          <w:tcPr>
            <w:tcW w:type="dxa" w:w="2016"/>
            <w:vAlign w:val="top"/>
          </w:tcPr>
          <w:p>
            <w:pPr>
              <w:spacing w:after="40"/>
            </w:pPr>
            <w:r>
              <w:rPr>
                <w:sz w:val="18"/>
              </w:rPr>
              <w:t>owned_counts</w:t>
            </w:r>
          </w:p>
        </w:tc>
        <w:tc>
          <w:tcPr>
            <w:tcW w:type="dxa" w:w="7344"/>
            <w:vAlign w:val="top"/>
          </w:tcPr>
          <w:p>
            <w:pPr>
              <w:spacing w:after="40"/>
            </w:pPr>
            <w:r>
              <w:rPr>
                <w:sz w:val="18"/>
              </w:rPr>
              <w:t>Inputs: card_id[]. Outcomes: {ok, map card_id → owned_qty} for DeckBuilder (FR-69)</w:t>
            </w:r>
          </w:p>
        </w:tc>
      </w:tr>
    </w:tbl>
    <w:p>
      <w:pPr>
        <w:spacing w:after="40"/>
      </w:pPr>
    </w:p>
    <w:p>
      <w:pPr>
        <w:pStyle w:val="Heading2"/>
      </w:pPr>
      <w:r>
        <w:t>6.6 Share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8"/>
              </w:rPr>
              <w:t>Field</w:t>
            </w:r>
          </w:p>
        </w:tc>
        <w:tc>
          <w:tcPr>
            <w:tcW w:type="dxa" w:w="7200"/>
            <w:shd w:val="clear" w:color="auto" w:fill="D9E2F3"/>
          </w:tcPr>
          <w:p>
            <w:r/>
            <w:r>
              <w:rPr>
                <w:b/>
                <w:sz w:val="18"/>
              </w:rPr>
              <w:t>Rule</w:t>
            </w:r>
          </w:p>
        </w:tc>
      </w:tr>
      <w:tr>
        <w:tc>
          <w:tcPr>
            <w:tcW w:type="dxa" w:w="2160"/>
            <w:vAlign w:val="top"/>
          </w:tcPr>
          <w:p>
            <w:pPr>
              <w:spacing w:after="40"/>
            </w:pPr>
            <w:r>
              <w:rPr>
                <w:sz w:val="18"/>
              </w:rPr>
              <w:t>Token</w:t>
            </w:r>
          </w:p>
        </w:tc>
        <w:tc>
          <w:tcPr>
            <w:tcW w:type="dxa" w:w="7200"/>
            <w:vAlign w:val="top"/>
          </w:tcPr>
          <w:p>
            <w:pPr>
              <w:spacing w:after="40"/>
            </w:pPr>
            <w:r>
              <w:rPr>
                <w:sz w:val="18"/>
              </w:rPr>
              <w:t>Opaque random secret, at least 128 bits of entropy; not the parent id (ADR-007). Server stores only a hash (SHA-256 of the secret) plus target_kind (deck|want_list) and target_id. Raw token returned once at create.</w:t>
            </w:r>
          </w:p>
        </w:tc>
      </w:tr>
      <w:tr>
        <w:tc>
          <w:tcPr>
            <w:tcW w:type="dxa" w:w="2160"/>
            <w:vAlign w:val="top"/>
          </w:tcPr>
          <w:p>
            <w:pPr>
              <w:spacing w:after="40"/>
            </w:pPr>
            <w:r>
              <w:rPr>
                <w:sz w:val="18"/>
              </w:rPr>
              <w:t>Create</w:t>
            </w:r>
          </w:p>
        </w:tc>
        <w:tc>
          <w:tcPr>
            <w:tcW w:type="dxa" w:w="7200"/>
            <w:vAlign w:val="top"/>
          </w:tcPr>
          <w:p>
            <w:pPr>
              <w:spacing w:after="40"/>
            </w:pPr>
            <w:r>
              <w:rPr>
                <w:sz w:val="18"/>
              </w:rPr>
              <w:t>Inputs: target_kind, target_id. Outcomes: {ok, url} (raw token only in this response) | {unauthorized} | {error, code, message, retryable}</w:t>
            </w:r>
          </w:p>
        </w:tc>
      </w:tr>
      <w:tr>
        <w:tc>
          <w:tcPr>
            <w:tcW w:type="dxa" w:w="2160"/>
            <w:vAlign w:val="top"/>
          </w:tcPr>
          <w:p>
            <w:pPr>
              <w:spacing w:after="40"/>
            </w:pPr>
            <w:r>
              <w:rPr>
                <w:sz w:val="18"/>
              </w:rPr>
              <w:t>Open</w:t>
            </w:r>
          </w:p>
        </w:tc>
        <w:tc>
          <w:tcPr>
            <w:tcW w:type="dxa" w:w="7200"/>
            <w:vAlign w:val="top"/>
          </w:tcPr>
          <w:p>
            <w:pPr>
              <w:spacing w:after="40"/>
            </w:pPr>
            <w:r>
              <w:rPr>
                <w:sz w:val="18"/>
              </w:rPr>
              <w:t>Lookup by hash of the presented token. Outcomes: {ok, kind, payload} | {notFound} (unknown, revoked, or parent/account deleted)</w:t>
            </w:r>
          </w:p>
        </w:tc>
      </w:tr>
      <w:tr>
        <w:tc>
          <w:tcPr>
            <w:tcW w:type="dxa" w:w="2160"/>
            <w:vAlign w:val="top"/>
          </w:tcPr>
          <w:p>
            <w:pPr>
              <w:spacing w:after="40"/>
            </w:pPr>
            <w:r>
              <w:rPr>
                <w:sz w:val="18"/>
              </w:rPr>
              <w:t>Revoke</w:t>
            </w:r>
          </w:p>
        </w:tc>
        <w:tc>
          <w:tcPr>
            <w:tcW w:type="dxa" w:w="7200"/>
            <w:vAlign w:val="top"/>
          </w:tcPr>
          <w:p>
            <w:pPr>
              <w:spacing w:after="40"/>
            </w:pPr>
            <w:r>
              <w:rPr>
                <w:sz w:val="18"/>
              </w:rPr>
              <w:t>Owner only. Outcomes: {ok} | {notFound} | {unauthorized}</w:t>
            </w:r>
          </w:p>
        </w:tc>
      </w:tr>
      <w:tr>
        <w:tc>
          <w:tcPr>
            <w:tcW w:type="dxa" w:w="2160"/>
            <w:vAlign w:val="top"/>
          </w:tcPr>
          <w:p>
            <w:pPr>
              <w:spacing w:after="40"/>
            </w:pPr>
            <w:r>
              <w:rPr>
                <w:sz w:val="18"/>
              </w:rPr>
              <w:t>Access</w:t>
            </w:r>
          </w:p>
        </w:tc>
        <w:tc>
          <w:tcPr>
            <w:tcW w:type="dxa" w:w="7200"/>
            <w:vAlign w:val="top"/>
          </w:tcPr>
          <w:p>
            <w:pPr>
              <w:spacing w:after="40"/>
            </w:pPr>
            <w:r>
              <w:rPr>
                <w:sz w:val="18"/>
              </w:rPr>
              <w:t>Read-only deck or want-list view; no edit or export-as-owner</w:t>
            </w:r>
          </w:p>
        </w:tc>
      </w:tr>
      <w:tr>
        <w:tc>
          <w:tcPr>
            <w:tcW w:type="dxa" w:w="2160"/>
            <w:vAlign w:val="top"/>
          </w:tcPr>
          <w:p>
            <w:pPr>
              <w:spacing w:after="40"/>
            </w:pPr>
            <w:r>
              <w:rPr>
                <w:sz w:val="18"/>
              </w:rPr>
              <w:t>Delete</w:t>
            </w:r>
          </w:p>
        </w:tc>
        <w:tc>
          <w:tcPr>
            <w:tcW w:type="dxa" w:w="7200"/>
            <w:vAlign w:val="top"/>
          </w:tcPr>
          <w:p>
            <w:pPr>
              <w:spacing w:after="40"/>
            </w:pPr>
            <w:r>
              <w:rPr>
                <w:sz w:val="18"/>
              </w:rPr>
              <w:t>Account, deck, or want-list delete removes related share_links immediately (FK CASCADE or security-definer)</w:t>
            </w:r>
          </w:p>
        </w:tc>
      </w:tr>
      <w:tr>
        <w:tc>
          <w:tcPr>
            <w:tcW w:type="dxa" w:w="2160"/>
            <w:vAlign w:val="top"/>
          </w:tcPr>
          <w:p>
            <w:pPr>
              <w:spacing w:after="40"/>
            </w:pPr>
            <w:r>
              <w:rPr>
                <w:sz w:val="18"/>
              </w:rPr>
              <w:t>Expiry</w:t>
            </w:r>
          </w:p>
        </w:tc>
        <w:tc>
          <w:tcPr>
            <w:tcW w:type="dxa" w:w="7200"/>
            <w:vAlign w:val="top"/>
          </w:tcPr>
          <w:p>
            <w:pPr>
              <w:spacing w:after="40"/>
            </w:pPr>
            <w:r>
              <w:rPr>
                <w:sz w:val="18"/>
              </w:rPr>
              <w:t>No calendar TTL; links last until revoke or delete (ADR-007)</w:t>
            </w:r>
          </w:p>
        </w:tc>
      </w:tr>
      <w:tr>
        <w:tc>
          <w:tcPr>
            <w:tcW w:type="dxa" w:w="2160"/>
            <w:vAlign w:val="top"/>
          </w:tcPr>
          <w:p>
            <w:pPr>
              <w:spacing w:after="40"/>
            </w:pPr>
            <w:r>
              <w:rPr>
                <w:sz w:val="18"/>
              </w:rPr>
              <w:t>Referrer</w:t>
            </w:r>
          </w:p>
        </w:tc>
        <w:tc>
          <w:tcPr>
            <w:tcW w:type="dxa" w:w="7200"/>
            <w:vAlign w:val="top"/>
          </w:tcPr>
          <w:p>
            <w:pPr>
              <w:spacing w:after="40"/>
            </w:pPr>
            <w:r>
              <w:rPr>
                <w:sz w:val="18"/>
              </w:rPr>
              <w:t>Share routes send Referrer-Policy: no-referrer (or strict-origin) so the token is not leaked to store origins</w:t>
            </w:r>
          </w:p>
        </w:tc>
      </w:tr>
    </w:tbl>
    <w:p>
      <w:pPr>
        <w:spacing w:after="40"/>
      </w:pPr>
    </w:p>
    <w:p>
      <w:pPr>
        <w:pStyle w:val="Heading2"/>
      </w:pPr>
      <w:r>
        <w:t>6.7 Data pipeline</w:t>
      </w:r>
    </w:p>
    <w:tbl>
      <w:tblPr>
        <w:tblStyle w:val="TableGrid"/>
        <w:tblW w:type="auto" w:w="0"/>
        <w:tblLayout w:type="fixed"/>
        <w:tblLook w:firstColumn="1" w:firstRow="1" w:lastColumn="0" w:lastRow="0" w:noHBand="0" w:noVBand="1" w:val="04A0"/>
      </w:tblPr>
      <w:tblGrid>
        <w:gridCol w:w="1728"/>
        <w:gridCol w:w="7632"/>
      </w:tblGrid>
      <w:tr>
        <w:trPr>
          <w:tblHeader w:val="true"/>
        </w:trPr>
        <w:tc>
          <w:tcPr>
            <w:tcW w:type="dxa" w:w="1728"/>
            <w:shd w:val="clear" w:color="auto" w:fill="D9E2F3"/>
          </w:tcPr>
          <w:p>
            <w:r/>
            <w:r>
              <w:rPr>
                <w:b/>
                <w:sz w:val="18"/>
              </w:rPr>
              <w:t>Step</w:t>
            </w:r>
          </w:p>
        </w:tc>
        <w:tc>
          <w:tcPr>
            <w:tcW w:type="dxa" w:w="7632"/>
            <w:shd w:val="clear" w:color="auto" w:fill="D9E2F3"/>
          </w:tcPr>
          <w:p>
            <w:r/>
            <w:r>
              <w:rPr>
                <w:b/>
                <w:sz w:val="18"/>
              </w:rPr>
              <w:t>Action</w:t>
            </w:r>
          </w:p>
        </w:tc>
      </w:tr>
      <w:tr>
        <w:tc>
          <w:tcPr>
            <w:tcW w:type="dxa" w:w="1728"/>
            <w:vAlign w:val="top"/>
          </w:tcPr>
          <w:p>
            <w:pPr>
              <w:spacing w:after="40"/>
            </w:pPr>
            <w:r>
              <w:rPr>
                <w:sz w:val="18"/>
              </w:rPr>
              <w:t>1. Fetch</w:t>
            </w:r>
          </w:p>
        </w:tc>
        <w:tc>
          <w:tcPr>
            <w:tcW w:type="dxa" w:w="7632"/>
            <w:vAlign w:val="top"/>
          </w:tcPr>
          <w:p>
            <w:pPr>
              <w:spacing w:after="40"/>
            </w:pPr>
            <w:r>
              <w:rPr>
                <w:sz w:val="18"/>
              </w:rPr>
              <w:t>YGOPRODeck card dump from pinned allowlisted hosts (User-Agent set), prices, genesys_points; Konami pages for spot-check only</w:t>
            </w:r>
          </w:p>
        </w:tc>
      </w:tr>
      <w:tr>
        <w:tc>
          <w:tcPr>
            <w:tcW w:type="dxa" w:w="1728"/>
            <w:vAlign w:val="top"/>
          </w:tcPr>
          <w:p>
            <w:pPr>
              <w:spacing w:after="40"/>
            </w:pPr>
            <w:r>
              <w:rPr>
                <w:sz w:val="18"/>
              </w:rPr>
              <w:t>2. Normalize</w:t>
            </w:r>
          </w:p>
        </w:tc>
        <w:tc>
          <w:tcPr>
            <w:tcW w:type="dxa" w:w="7632"/>
            <w:vAlign w:val="top"/>
          </w:tcPr>
          <w:p>
            <w:pPr>
              <w:spacing w:after="40"/>
            </w:pPr>
            <w:r>
              <w:rPr>
                <w:sz w:val="18"/>
              </w:rPr>
              <w:t>Map into SchemaCore Yu-Gi-Oh! extension; drop non-Yu-Gi-Oh! rows (FR-50)</w:t>
            </w:r>
          </w:p>
        </w:tc>
      </w:tr>
      <w:tr>
        <w:tc>
          <w:tcPr>
            <w:tcW w:type="dxa" w:w="1728"/>
            <w:vAlign w:val="top"/>
          </w:tcPr>
          <w:p>
            <w:pPr>
              <w:spacing w:after="40"/>
            </w:pPr>
            <w:r>
              <w:rPr>
                <w:sz w:val="18"/>
              </w:rPr>
              <w:t>3. Overrides</w:t>
            </w:r>
          </w:p>
        </w:tc>
        <w:tc>
          <w:tcPr>
            <w:tcW w:type="dxa" w:w="7632"/>
            <w:vAlign w:val="top"/>
          </w:tcPr>
          <w:p>
            <w:pPr>
              <w:spacing w:after="40"/>
            </w:pPr>
            <w:r>
              <w:rPr>
                <w:sz w:val="18"/>
              </w:rPr>
              <w:t>Apply hand-curated overrides.json (FR-48); unknown fields refused</w:t>
            </w:r>
          </w:p>
        </w:tc>
      </w:tr>
      <w:tr>
        <w:tc>
          <w:tcPr>
            <w:tcW w:type="dxa" w:w="1728"/>
            <w:vAlign w:val="top"/>
          </w:tcPr>
          <w:p>
            <w:pPr>
              <w:spacing w:after="40"/>
            </w:pPr>
            <w:r>
              <w:rPr>
                <w:sz w:val="18"/>
              </w:rPr>
              <w:t>4. Formats</w:t>
            </w:r>
          </w:p>
        </w:tc>
        <w:tc>
          <w:tcPr>
            <w:tcW w:type="dxa" w:w="7632"/>
            <w:vAlign w:val="top"/>
          </w:tcPr>
          <w:p>
            <w:pPr>
              <w:spacing w:after="40"/>
            </w:pPr>
            <w:r>
              <w:rPr>
                <w:sz w:val="18"/>
              </w:rPr>
              <w:t>Attach banlist snapshots and format metadata validated against curated-file schemas (ADR-004)</w:t>
            </w:r>
          </w:p>
        </w:tc>
      </w:tr>
      <w:tr>
        <w:tc>
          <w:tcPr>
            <w:tcW w:type="dxa" w:w="1728"/>
            <w:vAlign w:val="top"/>
          </w:tcPr>
          <w:p>
            <w:pPr>
              <w:spacing w:after="40"/>
            </w:pPr>
            <w:r>
              <w:rPr>
                <w:sz w:val="18"/>
              </w:rPr>
              <w:t>5. Genesys</w:t>
            </w:r>
          </w:p>
        </w:tc>
        <w:tc>
          <w:tcPr>
            <w:tcW w:type="dxa" w:w="7632"/>
            <w:vAlign w:val="top"/>
          </w:tcPr>
          <w:p>
            <w:pPr>
              <w:spacing w:after="40"/>
            </w:pPr>
            <w:r>
              <w:rPr>
                <w:sz w:val="18"/>
              </w:rPr>
              <w:t>Ingest points; write Konami spot-check diff report; do not auto-apply diffs (ADR-005)</w:t>
            </w:r>
          </w:p>
        </w:tc>
      </w:tr>
      <w:tr>
        <w:tc>
          <w:tcPr>
            <w:tcW w:type="dxa" w:w="1728"/>
            <w:vAlign w:val="top"/>
          </w:tcPr>
          <w:p>
            <w:pPr>
              <w:spacing w:after="40"/>
            </w:pPr>
            <w:r>
              <w:rPr>
                <w:sz w:val="18"/>
              </w:rPr>
              <w:t>6. Images</w:t>
            </w:r>
          </w:p>
        </w:tc>
        <w:tc>
          <w:tcPr>
            <w:tcW w:type="dxa" w:w="7632"/>
            <w:vAlign w:val="top"/>
          </w:tcPr>
          <w:p>
            <w:pPr>
              <w:spacing w:after="40"/>
            </w:pPr>
            <w:r>
              <w:rPr>
                <w:sz w:val="18"/>
              </w:rPr>
              <w:t>Download needed art; validate Content-Type and max bytes; write under a new artifact directory; never hotlink at runtime (FR-54)</w:t>
            </w:r>
          </w:p>
        </w:tc>
      </w:tr>
      <w:tr>
        <w:tc>
          <w:tcPr>
            <w:tcW w:type="dxa" w:w="1728"/>
            <w:vAlign w:val="top"/>
          </w:tcPr>
          <w:p>
            <w:pPr>
              <w:spacing w:after="40"/>
            </w:pPr>
            <w:r>
              <w:rPr>
                <w:sz w:val="18"/>
              </w:rPr>
              <w:t>7. Validate</w:t>
            </w:r>
          </w:p>
        </w:tc>
        <w:tc>
          <w:tcPr>
            <w:tcW w:type="dxa" w:w="7632"/>
            <w:vAlign w:val="top"/>
          </w:tcPr>
          <w:p>
            <w:pPr>
              <w:spacing w:after="40"/>
            </w:pPr>
            <w:r>
              <w:rPr>
                <w:sz w:val="18"/>
              </w:rPr>
              <w:t>Schema + referential checks (including override card ids); fail the job on error (NFR-08)</w:t>
            </w:r>
          </w:p>
        </w:tc>
      </w:tr>
      <w:tr>
        <w:tc>
          <w:tcPr>
            <w:tcW w:type="dxa" w:w="1728"/>
            <w:vAlign w:val="top"/>
          </w:tcPr>
          <w:p>
            <w:pPr>
              <w:spacing w:after="40"/>
            </w:pPr>
            <w:r>
              <w:rPr>
                <w:sz w:val="18"/>
              </w:rPr>
              <w:t>8. Publish</w:t>
            </w:r>
          </w:p>
        </w:tc>
        <w:tc>
          <w:tcPr>
            <w:tcW w:type="dxa" w:w="7632"/>
            <w:vAlign w:val="top"/>
          </w:tcPr>
          <w:p>
            <w:pPr>
              <w:spacing w:after="40"/>
            </w:pPr>
            <w:r>
              <w:rPr>
                <w:sz w:val="18"/>
              </w:rPr>
              <w:t>On success, atomically swap one published pointer (or release directory) to the new artifact set; never overwrite files in place mid-job. On failure, leave the prior pointer live</w:t>
            </w:r>
          </w:p>
        </w:tc>
      </w:tr>
    </w:tbl>
    <w:p>
      <w:pPr>
        <w:spacing w:after="40"/>
      </w:pPr>
    </w:p>
    <w:p>
      <w:pPr>
        <w:pStyle w:val="Heading2"/>
      </w:pPr>
      <w:r>
        <w:t>6.8 Security baseline</w:t>
      </w:r>
    </w:p>
    <w:p>
      <w:pPr>
        <w:pStyle w:val="ListBullet"/>
        <w:spacing w:after="60"/>
      </w:pPr>
      <w:r>
        <w:t>All production URLs are HTTPS (NFR-03).</w:t>
      </w:r>
    </w:p>
    <w:p>
      <w:pPr>
        <w:pStyle w:val="ListBullet"/>
        <w:spacing w:after="60"/>
      </w:pPr>
      <w:r>
        <w:t>The SPA ships only the Supabase anon key. The service role key exists only in GitHub Actions secrets, is used only by the data pipeline, and never reads or writes user deck, want-list, collection, or share tables. CI fails if the client bundle contains the service_role substring.</w:t>
      </w:r>
    </w:p>
    <w:p>
      <w:pPr>
        <w:pStyle w:val="ListBullet"/>
        <w:spacing w:after="60"/>
      </w:pPr>
      <w:r>
        <w:t>Row-level security: owners have CRUD on their decks, want_lists (and items via parent), and collection_items; owners manage their share_links for decks and want lists; anonymous clients never SELECT those tables directly — share open goes through a token RPC or security-definer path that returns a read-only payload for a valid hash.</w:t>
      </w:r>
    </w:p>
    <w:p>
      <w:pPr>
        <w:pStyle w:val="ListBullet"/>
        <w:spacing w:after="60"/>
      </w:pPr>
      <w:r>
        <w:t>Share tokens have at least 128 bits of entropy; only the hash is stored; raw token is returned once at create; share routes use Referrer-Policy so tokens are not sent to third-party store origins.</w:t>
      </w:r>
    </w:p>
    <w:p>
      <w:pPr>
        <w:pStyle w:val="ListBullet"/>
        <w:spacing w:after="60"/>
      </w:pPr>
      <w:r>
        <w:t>No card images or card JSON are fetched from YGOPRODeck in the browser (NFR-05).</w:t>
      </w:r>
    </w:p>
    <w:p>
      <w:pPr>
        <w:pStyle w:val="ListBullet"/>
        <w:spacing w:after="60"/>
      </w:pPr>
      <w:r>
        <w:t>Store price URLs are built only from fixed https vendor origin templates with encoded query params; unexpected schemes are refused. Links open in a new tab; OTCP does not proxy checkout.</w:t>
      </w:r>
    </w:p>
    <w:p>
      <w:pPr>
        <w:pStyle w:val="ListBullet"/>
        <w:spacing w:after="60"/>
      </w:pPr>
      <w:r>
        <w:t>Content Security Policy on /otcp/: default-src 'self'; script-src and style-src as required for the Vite build (no unexpected third parties); img-src 'self' data:; connect-src to the Supabase project only; frame-src as required for Google OAuth. Verified in spike S-02.</w:t>
      </w:r>
    </w:p>
    <w:p>
      <w:pPr>
        <w:pStyle w:val="ListBullet"/>
        <w:spacing w:after="60"/>
      </w:pPr>
      <w:r>
        <w:t>Account deletion is a confirmed user action handled by one security-definer operation that deletes the owner's share_links, want lists (and items), collection items, and decks, then the auth user. Live rows are gone immediately; only provider backups may remain until they age out within 30 days (NFR-07, ADR-011). Client shows confirmed or failed only.</w:t>
      </w:r>
    </w:p>
    <w:p>
      <w:pPr>
        <w:pStyle w:val="ListBullet"/>
        <w:spacing w:after="60"/>
      </w:pPr>
      <w:r>
        <w:t>Quick check (ADR-013 tables): want_list_items and collection_items carry card_id / set / rarity / qty / note / optional purchase_price and my_value (user-entered USD — not a payment instrument, card number, or address) / condition and variant flags; share_links still store hash only; target_kind is a closed check constraint.</w:t>
      </w:r>
    </w:p>
    <w:p>
      <w:r>
        <w:t>Confirmed account deletion calls one security-definer operation that, for auth.uid(): deletes share_links for the owner's decks and want lists (or relies on CASCADE), deletes want_list_items / want_lists, collection_items, decks, then deletes the auth user. Client outcomes: {ok} | {error, code, message, retryable}. Partial client-side deletes are not used.</w:t>
      </w:r>
    </w:p>
    <w:p>
      <w:pPr>
        <w:pStyle w:val="Heading2"/>
      </w:pPr>
      <w:r>
        <w:t>6.9 Schema sketch</w:t>
      </w:r>
    </w:p>
    <w:p>
      <w:r>
        <w:t>OTCP owns a versioned JSON schema with a shared core and a Yu-Gi-Oh! typed extension (FR-46, FR-51, ADR-002). Other games are out of scope for v1 but the core must not assume Yu-Gi-Oh! field names. Each game extension also declares its faceted filter definitions (field, control type, grouping, include/exclude, AND/OR) so FilterEngine and the filter panel stay data-driven (ADR-012, FR-56).</w:t>
      </w:r>
    </w:p>
    <w:p>
      <w:r>
        <w:rPr>
          <w:b/>
        </w:rPr>
        <w:t>Core dataset</w:t>
      </w:r>
    </w:p>
    <w:tbl>
      <w:tblPr>
        <w:tblStyle w:val="TableGrid"/>
        <w:tblW w:type="auto" w:w="0"/>
        <w:tblLayout w:type="fixed"/>
        <w:tblLook w:firstColumn="1" w:firstRow="1" w:lastColumn="0" w:lastRow="0" w:noHBand="0" w:noVBand="1" w:val="04A0"/>
      </w:tblPr>
      <w:tblGrid>
        <w:gridCol w:w="2160"/>
        <w:gridCol w:w="1728"/>
        <w:gridCol w:w="5472"/>
      </w:tblGrid>
      <w:tr>
        <w:trPr>
          <w:tblHeader w:val="true"/>
        </w:trPr>
        <w:tc>
          <w:tcPr>
            <w:tcW w:type="dxa" w:w="2160"/>
            <w:shd w:val="clear" w:color="auto" w:fill="D9E2F3"/>
          </w:tcPr>
          <w:p>
            <w:r/>
            <w:r>
              <w:rPr>
                <w:b/>
                <w:sz w:val="18"/>
              </w:rPr>
              <w:t>Field</w:t>
            </w:r>
          </w:p>
        </w:tc>
        <w:tc>
          <w:tcPr>
            <w:tcW w:type="dxa" w:w="1728"/>
            <w:shd w:val="clear" w:color="auto" w:fill="D9E2F3"/>
          </w:tcPr>
          <w:p>
            <w:r/>
            <w:r>
              <w:rPr>
                <w:b/>
                <w:sz w:val="18"/>
              </w:rPr>
              <w:t>Type</w:t>
            </w:r>
          </w:p>
        </w:tc>
        <w:tc>
          <w:tcPr>
            <w:tcW w:type="dxa" w:w="5472"/>
            <w:shd w:val="clear" w:color="auto" w:fill="D9E2F3"/>
          </w:tcPr>
          <w:p>
            <w:r/>
            <w:r>
              <w:rPr>
                <w:b/>
                <w:sz w:val="18"/>
              </w:rPr>
              <w:t>Rule</w:t>
            </w:r>
          </w:p>
        </w:tc>
      </w:tr>
      <w:tr>
        <w:tc>
          <w:tcPr>
            <w:tcW w:type="dxa" w:w="2160"/>
            <w:vAlign w:val="top"/>
          </w:tcPr>
          <w:p>
            <w:pPr>
              <w:spacing w:after="40"/>
            </w:pPr>
            <w:r>
              <w:rPr>
                <w:rFonts w:ascii="Consolas" w:hAnsi="Consolas"/>
                <w:sz w:val="18"/>
              </w:rPr>
              <w:t>schemaVersion</w:t>
            </w:r>
          </w:p>
        </w:tc>
        <w:tc>
          <w:tcPr>
            <w:tcW w:type="dxa" w:w="1728"/>
            <w:vAlign w:val="top"/>
          </w:tcPr>
          <w:p>
            <w:pPr>
              <w:spacing w:after="40"/>
            </w:pPr>
            <w:r>
              <w:rPr>
                <w:sz w:val="18"/>
              </w:rPr>
              <w:t>string</w:t>
            </w:r>
          </w:p>
        </w:tc>
        <w:tc>
          <w:tcPr>
            <w:tcW w:type="dxa" w:w="5472"/>
            <w:vAlign w:val="top"/>
          </w:tcPr>
          <w:p>
            <w:pPr>
              <w:spacing w:after="40"/>
            </w:pPr>
            <w:r>
              <w:rPr>
                <w:sz w:val="18"/>
              </w:rPr>
              <w:t>Semver of the published dataset</w:t>
            </w:r>
          </w:p>
        </w:tc>
      </w:tr>
      <w:tr>
        <w:tc>
          <w:tcPr>
            <w:tcW w:type="dxa" w:w="2160"/>
            <w:vAlign w:val="top"/>
          </w:tcPr>
          <w:p>
            <w:pPr>
              <w:spacing w:after="40"/>
            </w:pPr>
            <w:r>
              <w:rPr>
                <w:rFonts w:ascii="Consolas" w:hAnsi="Consolas"/>
                <w:sz w:val="18"/>
              </w:rPr>
              <w:t>game</w:t>
            </w:r>
          </w:p>
        </w:tc>
        <w:tc>
          <w:tcPr>
            <w:tcW w:type="dxa" w:w="1728"/>
            <w:vAlign w:val="top"/>
          </w:tcPr>
          <w:p>
            <w:pPr>
              <w:spacing w:after="40"/>
            </w:pPr>
            <w:r>
              <w:rPr>
                <w:sz w:val="18"/>
              </w:rPr>
              <w:t>string</w:t>
            </w:r>
          </w:p>
        </w:tc>
        <w:tc>
          <w:tcPr>
            <w:tcW w:type="dxa" w:w="5472"/>
            <w:vAlign w:val="top"/>
          </w:tcPr>
          <w:p>
            <w:pPr>
              <w:spacing w:after="40"/>
            </w:pPr>
            <w:r>
              <w:rPr>
                <w:sz w:val="18"/>
              </w:rPr>
              <w:t>yugioh for v1; core refuses unknown games at runtime</w:t>
            </w:r>
          </w:p>
        </w:tc>
      </w:tr>
      <w:tr>
        <w:tc>
          <w:tcPr>
            <w:tcW w:type="dxa" w:w="2160"/>
            <w:vAlign w:val="top"/>
          </w:tcPr>
          <w:p>
            <w:pPr>
              <w:spacing w:after="40"/>
            </w:pPr>
            <w:r>
              <w:rPr>
                <w:rFonts w:ascii="Consolas" w:hAnsi="Consolas"/>
                <w:sz w:val="18"/>
              </w:rPr>
              <w:t>generatedAt</w:t>
            </w:r>
          </w:p>
        </w:tc>
        <w:tc>
          <w:tcPr>
            <w:tcW w:type="dxa" w:w="1728"/>
            <w:vAlign w:val="top"/>
          </w:tcPr>
          <w:p>
            <w:pPr>
              <w:spacing w:after="40"/>
            </w:pPr>
            <w:r>
              <w:rPr>
                <w:sz w:val="18"/>
              </w:rPr>
              <w:t>string</w:t>
            </w:r>
          </w:p>
        </w:tc>
        <w:tc>
          <w:tcPr>
            <w:tcW w:type="dxa" w:w="5472"/>
            <w:vAlign w:val="top"/>
          </w:tcPr>
          <w:p>
            <w:pPr>
              <w:spacing w:after="40"/>
            </w:pPr>
            <w:r>
              <w:rPr>
                <w:sz w:val="18"/>
              </w:rPr>
              <w:t>ISO-8601 UTC from the pipeline</w:t>
            </w:r>
          </w:p>
        </w:tc>
      </w:tr>
      <w:tr>
        <w:tc>
          <w:tcPr>
            <w:tcW w:type="dxa" w:w="2160"/>
            <w:vAlign w:val="top"/>
          </w:tcPr>
          <w:p>
            <w:pPr>
              <w:spacing w:after="40"/>
            </w:pPr>
            <w:r>
              <w:rPr>
                <w:rFonts w:ascii="Consolas" w:hAnsi="Consolas"/>
                <w:sz w:val="18"/>
              </w:rPr>
              <w:t>cards</w:t>
            </w:r>
          </w:p>
        </w:tc>
        <w:tc>
          <w:tcPr>
            <w:tcW w:type="dxa" w:w="1728"/>
            <w:vAlign w:val="top"/>
          </w:tcPr>
          <w:p>
            <w:pPr>
              <w:spacing w:after="40"/>
            </w:pPr>
            <w:r>
              <w:rPr>
                <w:sz w:val="18"/>
              </w:rPr>
              <w:t>array</w:t>
            </w:r>
          </w:p>
        </w:tc>
        <w:tc>
          <w:tcPr>
            <w:tcW w:type="dxa" w:w="5472"/>
            <w:vAlign w:val="top"/>
          </w:tcPr>
          <w:p>
            <w:pPr>
              <w:spacing w:after="40"/>
            </w:pPr>
            <w:r>
              <w:rPr>
                <w:sz w:val="18"/>
              </w:rPr>
              <w:t>Game-extension card objects</w:t>
            </w:r>
          </w:p>
        </w:tc>
      </w:tr>
      <w:tr>
        <w:tc>
          <w:tcPr>
            <w:tcW w:type="dxa" w:w="2160"/>
            <w:vAlign w:val="top"/>
          </w:tcPr>
          <w:p>
            <w:pPr>
              <w:spacing w:after="40"/>
            </w:pPr>
            <w:r>
              <w:rPr>
                <w:rFonts w:ascii="Consolas" w:hAnsi="Consolas"/>
                <w:sz w:val="18"/>
              </w:rPr>
              <w:t>formats</w:t>
            </w:r>
          </w:p>
        </w:tc>
        <w:tc>
          <w:tcPr>
            <w:tcW w:type="dxa" w:w="1728"/>
            <w:vAlign w:val="top"/>
          </w:tcPr>
          <w:p>
            <w:pPr>
              <w:spacing w:after="40"/>
            </w:pPr>
            <w:r>
              <w:rPr>
                <w:sz w:val="18"/>
              </w:rPr>
              <w:t>array</w:t>
            </w:r>
          </w:p>
        </w:tc>
        <w:tc>
          <w:tcPr>
            <w:tcW w:type="dxa" w:w="5472"/>
            <w:vAlign w:val="top"/>
          </w:tcPr>
          <w:p>
            <w:pPr>
              <w:spacing w:after="40"/>
            </w:pPr>
            <w:r>
              <w:rPr>
                <w:sz w:val="18"/>
              </w:rPr>
              <w:t>Curated format descriptors + banlist refs</w:t>
            </w:r>
          </w:p>
        </w:tc>
      </w:tr>
    </w:tbl>
    <w:p>
      <w:pPr>
        <w:spacing w:after="40"/>
      </w:pPr>
    </w:p>
    <w:p>
      <w:r>
        <w:rPr>
          <w:b/>
        </w:rPr>
        <w:t>Yu-Gi-Oh! card (extension)</w:t>
      </w:r>
    </w:p>
    <w:tbl>
      <w:tblPr>
        <w:tblStyle w:val="TableGrid"/>
        <w:tblW w:type="auto" w:w="0"/>
        <w:tblLayout w:type="fixed"/>
        <w:tblLook w:firstColumn="1" w:firstRow="1" w:lastColumn="0" w:lastRow="0" w:noHBand="0" w:noVBand="1" w:val="04A0"/>
      </w:tblPr>
      <w:tblGrid>
        <w:gridCol w:w="2160"/>
        <w:gridCol w:w="1728"/>
        <w:gridCol w:w="5472"/>
      </w:tblGrid>
      <w:tr>
        <w:trPr>
          <w:tblHeader w:val="true"/>
        </w:trPr>
        <w:tc>
          <w:tcPr>
            <w:tcW w:type="dxa" w:w="2160"/>
            <w:shd w:val="clear" w:color="auto" w:fill="D9E2F3"/>
          </w:tcPr>
          <w:p>
            <w:r/>
            <w:r>
              <w:rPr>
                <w:b/>
                <w:sz w:val="18"/>
              </w:rPr>
              <w:t>Field</w:t>
            </w:r>
          </w:p>
        </w:tc>
        <w:tc>
          <w:tcPr>
            <w:tcW w:type="dxa" w:w="1728"/>
            <w:shd w:val="clear" w:color="auto" w:fill="D9E2F3"/>
          </w:tcPr>
          <w:p>
            <w:r/>
            <w:r>
              <w:rPr>
                <w:b/>
                <w:sz w:val="18"/>
              </w:rPr>
              <w:t>Type</w:t>
            </w:r>
          </w:p>
        </w:tc>
        <w:tc>
          <w:tcPr>
            <w:tcW w:type="dxa" w:w="5472"/>
            <w:shd w:val="clear" w:color="auto" w:fill="D9E2F3"/>
          </w:tcPr>
          <w:p>
            <w:r/>
            <w:r>
              <w:rPr>
                <w:b/>
                <w:sz w:val="18"/>
              </w:rPr>
              <w:t>Rule</w:t>
            </w:r>
          </w:p>
        </w:tc>
      </w:tr>
      <w:tr>
        <w:tc>
          <w:tcPr>
            <w:tcW w:type="dxa" w:w="2160"/>
            <w:vAlign w:val="top"/>
          </w:tcPr>
          <w:p>
            <w:pPr>
              <w:spacing w:after="40"/>
            </w:pPr>
            <w:r>
              <w:rPr>
                <w:rFonts w:ascii="Consolas" w:hAnsi="Consolas"/>
                <w:sz w:val="18"/>
              </w:rPr>
              <w:t>id</w:t>
            </w:r>
          </w:p>
        </w:tc>
        <w:tc>
          <w:tcPr>
            <w:tcW w:type="dxa" w:w="1728"/>
            <w:vAlign w:val="top"/>
          </w:tcPr>
          <w:p>
            <w:pPr>
              <w:spacing w:after="40"/>
            </w:pPr>
            <w:r>
              <w:rPr>
                <w:sz w:val="18"/>
              </w:rPr>
              <w:t>number</w:t>
            </w:r>
          </w:p>
        </w:tc>
        <w:tc>
          <w:tcPr>
            <w:tcW w:type="dxa" w:w="5472"/>
            <w:vAlign w:val="top"/>
          </w:tcPr>
          <w:p>
            <w:pPr>
              <w:spacing w:after="40"/>
            </w:pPr>
            <w:r>
              <w:rPr>
                <w:sz w:val="18"/>
              </w:rPr>
              <w:t>Primary key is YGOPRODeck id; display passcode when present; search accepts either when both exist</w:t>
            </w:r>
          </w:p>
        </w:tc>
      </w:tr>
      <w:tr>
        <w:tc>
          <w:tcPr>
            <w:tcW w:type="dxa" w:w="2160"/>
            <w:vAlign w:val="top"/>
          </w:tcPr>
          <w:p>
            <w:pPr>
              <w:spacing w:after="40"/>
            </w:pPr>
            <w:r>
              <w:rPr>
                <w:rFonts w:ascii="Consolas" w:hAnsi="Consolas"/>
                <w:sz w:val="18"/>
              </w:rPr>
              <w:t>name</w:t>
            </w:r>
          </w:p>
        </w:tc>
        <w:tc>
          <w:tcPr>
            <w:tcW w:type="dxa" w:w="1728"/>
            <w:vAlign w:val="top"/>
          </w:tcPr>
          <w:p>
            <w:pPr>
              <w:spacing w:after="40"/>
            </w:pPr>
            <w:r>
              <w:rPr>
                <w:sz w:val="18"/>
              </w:rPr>
              <w:t>string</w:t>
            </w:r>
          </w:p>
        </w:tc>
        <w:tc>
          <w:tcPr>
            <w:tcW w:type="dxa" w:w="5472"/>
            <w:vAlign w:val="top"/>
          </w:tcPr>
          <w:p>
            <w:pPr>
              <w:spacing w:after="40"/>
            </w:pPr>
            <w:r>
              <w:rPr>
                <w:sz w:val="18"/>
              </w:rPr>
              <w:t>Display name</w:t>
            </w:r>
          </w:p>
        </w:tc>
      </w:tr>
      <w:tr>
        <w:tc>
          <w:tcPr>
            <w:tcW w:type="dxa" w:w="2160"/>
            <w:vAlign w:val="top"/>
          </w:tcPr>
          <w:p>
            <w:pPr>
              <w:spacing w:after="40"/>
            </w:pPr>
            <w:r>
              <w:rPr>
                <w:rFonts w:ascii="Consolas" w:hAnsi="Consolas"/>
                <w:sz w:val="18"/>
              </w:rPr>
              <w:t>type</w:t>
            </w:r>
          </w:p>
        </w:tc>
        <w:tc>
          <w:tcPr>
            <w:tcW w:type="dxa" w:w="1728"/>
            <w:vAlign w:val="top"/>
          </w:tcPr>
          <w:p>
            <w:pPr>
              <w:spacing w:after="40"/>
            </w:pPr>
            <w:r>
              <w:rPr>
                <w:sz w:val="18"/>
              </w:rPr>
              <w:t>string</w:t>
            </w:r>
          </w:p>
        </w:tc>
        <w:tc>
          <w:tcPr>
            <w:tcW w:type="dxa" w:w="5472"/>
            <w:vAlign w:val="top"/>
          </w:tcPr>
          <w:p>
            <w:pPr>
              <w:spacing w:after="40"/>
            </w:pPr>
            <w:r>
              <w:rPr>
                <w:sz w:val="18"/>
              </w:rPr>
              <w:t>Monster / Spell / Trap / Skill (and subtypes as needed)</w:t>
            </w:r>
          </w:p>
        </w:tc>
      </w:tr>
      <w:tr>
        <w:tc>
          <w:tcPr>
            <w:tcW w:type="dxa" w:w="2160"/>
            <w:vAlign w:val="top"/>
          </w:tcPr>
          <w:p>
            <w:pPr>
              <w:spacing w:after="40"/>
            </w:pPr>
            <w:r>
              <w:rPr>
                <w:rFonts w:ascii="Consolas" w:hAnsi="Consolas"/>
                <w:sz w:val="18"/>
              </w:rPr>
              <w:t>images</w:t>
            </w:r>
          </w:p>
        </w:tc>
        <w:tc>
          <w:tcPr>
            <w:tcW w:type="dxa" w:w="1728"/>
            <w:vAlign w:val="top"/>
          </w:tcPr>
          <w:p>
            <w:pPr>
              <w:spacing w:after="40"/>
            </w:pPr>
            <w:r>
              <w:rPr>
                <w:sz w:val="18"/>
              </w:rPr>
              <w:t>object</w:t>
            </w:r>
          </w:p>
        </w:tc>
        <w:tc>
          <w:tcPr>
            <w:tcW w:type="dxa" w:w="5472"/>
            <w:vAlign w:val="top"/>
          </w:tcPr>
          <w:p>
            <w:pPr>
              <w:spacing w:after="40"/>
            </w:pPr>
            <w:r>
              <w:rPr>
                <w:sz w:val="18"/>
              </w:rPr>
              <w:t>Same-origin paths produced by the pipeline</w:t>
            </w:r>
          </w:p>
        </w:tc>
      </w:tr>
      <w:tr>
        <w:tc>
          <w:tcPr>
            <w:tcW w:type="dxa" w:w="2160"/>
            <w:vAlign w:val="top"/>
          </w:tcPr>
          <w:p>
            <w:pPr>
              <w:spacing w:after="40"/>
            </w:pPr>
            <w:r>
              <w:rPr>
                <w:rFonts w:ascii="Consolas" w:hAnsi="Consolas"/>
                <w:sz w:val="18"/>
              </w:rPr>
              <w:t>ban</w:t>
            </w:r>
          </w:p>
        </w:tc>
        <w:tc>
          <w:tcPr>
            <w:tcW w:type="dxa" w:w="1728"/>
            <w:vAlign w:val="top"/>
          </w:tcPr>
          <w:p>
            <w:pPr>
              <w:spacing w:after="40"/>
            </w:pPr>
            <w:r>
              <w:rPr>
                <w:sz w:val="18"/>
              </w:rPr>
              <w:t>object</w:t>
            </w:r>
          </w:p>
        </w:tc>
        <w:tc>
          <w:tcPr>
            <w:tcW w:type="dxa" w:w="5472"/>
            <w:vAlign w:val="top"/>
          </w:tcPr>
          <w:p>
            <w:pPr>
              <w:spacing w:after="40"/>
            </w:pPr>
            <w:r>
              <w:rPr>
                <w:sz w:val="18"/>
              </w:rPr>
              <w:t>Map of formatId to Unlimited | Limited | Semi-Limited | Forbidden; closed enum resolved by FormatEngine</w:t>
            </w:r>
          </w:p>
        </w:tc>
      </w:tr>
      <w:tr>
        <w:tc>
          <w:tcPr>
            <w:tcW w:type="dxa" w:w="2160"/>
            <w:vAlign w:val="top"/>
          </w:tcPr>
          <w:p>
            <w:pPr>
              <w:spacing w:after="40"/>
            </w:pPr>
            <w:r>
              <w:rPr>
                <w:rFonts w:ascii="Consolas" w:hAnsi="Consolas"/>
                <w:sz w:val="18"/>
              </w:rPr>
              <w:t>genesysPoints</w:t>
            </w:r>
          </w:p>
        </w:tc>
        <w:tc>
          <w:tcPr>
            <w:tcW w:type="dxa" w:w="1728"/>
            <w:vAlign w:val="top"/>
          </w:tcPr>
          <w:p>
            <w:pPr>
              <w:spacing w:after="40"/>
            </w:pPr>
            <w:r>
              <w:rPr>
                <w:sz w:val="18"/>
              </w:rPr>
              <w:t>number?</w:t>
            </w:r>
          </w:p>
        </w:tc>
        <w:tc>
          <w:tcPr>
            <w:tcW w:type="dxa" w:w="5472"/>
            <w:vAlign w:val="top"/>
          </w:tcPr>
          <w:p>
            <w:pPr>
              <w:spacing w:after="40"/>
            </w:pPr>
            <w:r>
              <w:rPr>
                <w:sz w:val="18"/>
              </w:rPr>
              <w:t>From YGOPRODeck; override only via curated file after review</w:t>
            </w:r>
          </w:p>
        </w:tc>
      </w:tr>
      <w:tr>
        <w:tc>
          <w:tcPr>
            <w:tcW w:type="dxa" w:w="2160"/>
            <w:vAlign w:val="top"/>
          </w:tcPr>
          <w:p>
            <w:pPr>
              <w:spacing w:after="40"/>
            </w:pPr>
            <w:r>
              <w:rPr>
                <w:rFonts w:ascii="Consolas" w:hAnsi="Consolas"/>
                <w:sz w:val="18"/>
              </w:rPr>
              <w:t>prices</w:t>
            </w:r>
          </w:p>
        </w:tc>
        <w:tc>
          <w:tcPr>
            <w:tcW w:type="dxa" w:w="1728"/>
            <w:vAlign w:val="top"/>
          </w:tcPr>
          <w:p>
            <w:pPr>
              <w:spacing w:after="40"/>
            </w:pPr>
            <w:r>
              <w:rPr>
                <w:sz w:val="18"/>
              </w:rPr>
              <w:t>object?</w:t>
            </w:r>
          </w:p>
        </w:tc>
        <w:tc>
          <w:tcPr>
            <w:tcW w:type="dxa" w:w="5472"/>
            <w:vAlign w:val="top"/>
          </w:tcPr>
          <w:p>
            <w:pPr>
              <w:spacing w:after="40"/>
            </w:pPr>
            <w:r>
              <w:rPr>
                <w:sz w:val="18"/>
              </w:rPr>
              <w:t>Published snapshot fields from YGOPRODeck card_prices</w:t>
            </w:r>
          </w:p>
        </w:tc>
      </w:tr>
    </w:tbl>
    <w:p>
      <w:pPr>
        <w:spacing w:after="40"/>
      </w:pPr>
    </w:p>
    <w:p>
      <w:r>
        <w:rPr>
          <w:b/>
        </w:rPr>
        <w:t>Deck document</w:t>
      </w:r>
    </w:p>
    <w:tbl>
      <w:tblPr>
        <w:tblStyle w:val="TableGrid"/>
        <w:tblW w:type="auto" w:w="0"/>
        <w:tblLayout w:type="fixed"/>
        <w:tblLook w:firstColumn="1" w:firstRow="1" w:lastColumn="0" w:lastRow="0" w:noHBand="0" w:noVBand="1" w:val="04A0"/>
      </w:tblPr>
      <w:tblGrid>
        <w:gridCol w:w="2448"/>
        <w:gridCol w:w="1728"/>
        <w:gridCol w:w="5184"/>
      </w:tblGrid>
      <w:tr>
        <w:trPr>
          <w:tblHeader w:val="true"/>
        </w:trPr>
        <w:tc>
          <w:tcPr>
            <w:tcW w:type="dxa" w:w="2448"/>
            <w:shd w:val="clear" w:color="auto" w:fill="D9E2F3"/>
          </w:tcPr>
          <w:p>
            <w:r/>
            <w:r>
              <w:rPr>
                <w:b/>
                <w:sz w:val="18"/>
              </w:rPr>
              <w:t>Field</w:t>
            </w:r>
          </w:p>
        </w:tc>
        <w:tc>
          <w:tcPr>
            <w:tcW w:type="dxa" w:w="1728"/>
            <w:shd w:val="clear" w:color="auto" w:fill="D9E2F3"/>
          </w:tcPr>
          <w:p>
            <w:r/>
            <w:r>
              <w:rPr>
                <w:b/>
                <w:sz w:val="18"/>
              </w:rPr>
              <w:t>Type</w:t>
            </w:r>
          </w:p>
        </w:tc>
        <w:tc>
          <w:tcPr>
            <w:tcW w:type="dxa" w:w="5184"/>
            <w:shd w:val="clear" w:color="auto" w:fill="D9E2F3"/>
          </w:tcPr>
          <w:p>
            <w:r/>
            <w:r>
              <w:rPr>
                <w:b/>
                <w:sz w:val="18"/>
              </w:rPr>
              <w:t>Rule</w:t>
            </w:r>
          </w:p>
        </w:tc>
      </w:tr>
      <w:tr>
        <w:tc>
          <w:tcPr>
            <w:tcW w:type="dxa" w:w="2448"/>
            <w:vAlign w:val="top"/>
          </w:tcPr>
          <w:p>
            <w:pPr>
              <w:spacing w:after="40"/>
            </w:pPr>
            <w:r>
              <w:rPr>
                <w:rFonts w:ascii="Consolas" w:hAnsi="Consolas"/>
                <w:sz w:val="18"/>
              </w:rPr>
              <w:t>deckSchemaVersion</w:t>
            </w:r>
          </w:p>
        </w:tc>
        <w:tc>
          <w:tcPr>
            <w:tcW w:type="dxa" w:w="1728"/>
            <w:vAlign w:val="top"/>
          </w:tcPr>
          <w:p>
            <w:pPr>
              <w:spacing w:after="40"/>
            </w:pPr>
            <w:r>
              <w:rPr>
                <w:sz w:val="18"/>
              </w:rPr>
              <w:t>number</w:t>
            </w:r>
          </w:p>
        </w:tc>
        <w:tc>
          <w:tcPr>
            <w:tcW w:type="dxa" w:w="5184"/>
            <w:vAlign w:val="top"/>
          </w:tcPr>
          <w:p>
            <w:pPr>
              <w:spacing w:after="40"/>
            </w:pPr>
            <w:r>
              <w:rPr>
                <w:sz w:val="18"/>
              </w:rPr>
              <w:t>Integer version of the saved-deck document shape (separate from published schemaVersion)</w:t>
            </w:r>
          </w:p>
        </w:tc>
      </w:tr>
      <w:tr>
        <w:tc>
          <w:tcPr>
            <w:tcW w:type="dxa" w:w="2448"/>
            <w:vAlign w:val="top"/>
          </w:tcPr>
          <w:p>
            <w:pPr>
              <w:spacing w:after="40"/>
            </w:pPr>
            <w:r>
              <w:rPr>
                <w:rFonts w:ascii="Consolas" w:hAnsi="Consolas"/>
                <w:sz w:val="18"/>
              </w:rPr>
              <w:t>id</w:t>
            </w:r>
          </w:p>
        </w:tc>
        <w:tc>
          <w:tcPr>
            <w:tcW w:type="dxa" w:w="1728"/>
            <w:vAlign w:val="top"/>
          </w:tcPr>
          <w:p>
            <w:pPr>
              <w:spacing w:after="40"/>
            </w:pPr>
            <w:r>
              <w:rPr>
                <w:sz w:val="18"/>
              </w:rPr>
              <w:t>uuid</w:t>
            </w:r>
          </w:p>
        </w:tc>
        <w:tc>
          <w:tcPr>
            <w:tcW w:type="dxa" w:w="5184"/>
            <w:vAlign w:val="top"/>
          </w:tcPr>
          <w:p>
            <w:pPr>
              <w:spacing w:after="40"/>
            </w:pPr>
            <w:r>
              <w:rPr>
                <w:sz w:val="18"/>
              </w:rPr>
              <w:t>Client or server generated</w:t>
            </w:r>
          </w:p>
        </w:tc>
      </w:tr>
      <w:tr>
        <w:tc>
          <w:tcPr>
            <w:tcW w:type="dxa" w:w="2448"/>
            <w:vAlign w:val="top"/>
          </w:tcPr>
          <w:p>
            <w:pPr>
              <w:spacing w:after="40"/>
            </w:pPr>
            <w:r>
              <w:rPr>
                <w:rFonts w:ascii="Consolas" w:hAnsi="Consolas"/>
                <w:sz w:val="18"/>
              </w:rPr>
              <w:t>ownerId</w:t>
            </w:r>
          </w:p>
        </w:tc>
        <w:tc>
          <w:tcPr>
            <w:tcW w:type="dxa" w:w="1728"/>
            <w:vAlign w:val="top"/>
          </w:tcPr>
          <w:p>
            <w:pPr>
              <w:spacing w:after="40"/>
            </w:pPr>
            <w:r>
              <w:rPr>
                <w:sz w:val="18"/>
              </w:rPr>
              <w:t>uuid?</w:t>
            </w:r>
          </w:p>
        </w:tc>
        <w:tc>
          <w:tcPr>
            <w:tcW w:type="dxa" w:w="5184"/>
            <w:vAlign w:val="top"/>
          </w:tcPr>
          <w:p>
            <w:pPr>
              <w:spacing w:after="40"/>
            </w:pPr>
            <w:r>
              <w:rPr>
                <w:sz w:val="18"/>
              </w:rPr>
              <w:t>Supabase auth user; null for guest drafts</w:t>
            </w:r>
          </w:p>
        </w:tc>
      </w:tr>
      <w:tr>
        <w:tc>
          <w:tcPr>
            <w:tcW w:type="dxa" w:w="2448"/>
            <w:vAlign w:val="top"/>
          </w:tcPr>
          <w:p>
            <w:pPr>
              <w:spacing w:after="40"/>
            </w:pPr>
            <w:r>
              <w:rPr>
                <w:rFonts w:ascii="Consolas" w:hAnsi="Consolas"/>
                <w:sz w:val="18"/>
              </w:rPr>
              <w:t>formatId</w:t>
            </w:r>
          </w:p>
        </w:tc>
        <w:tc>
          <w:tcPr>
            <w:tcW w:type="dxa" w:w="1728"/>
            <w:vAlign w:val="top"/>
          </w:tcPr>
          <w:p>
            <w:pPr>
              <w:spacing w:after="40"/>
            </w:pPr>
            <w:r>
              <w:rPr>
                <w:sz w:val="18"/>
              </w:rPr>
              <w:t>string</w:t>
            </w:r>
          </w:p>
        </w:tc>
        <w:tc>
          <w:tcPr>
            <w:tcW w:type="dxa" w:w="5184"/>
            <w:vAlign w:val="top"/>
          </w:tcPr>
          <w:p>
            <w:pPr>
              <w:spacing w:after="40"/>
            </w:pPr>
            <w:r>
              <w:rPr>
                <w:sz w:val="18"/>
              </w:rPr>
              <w:t>Active format</w:t>
            </w:r>
          </w:p>
        </w:tc>
      </w:tr>
      <w:tr>
        <w:tc>
          <w:tcPr>
            <w:tcW w:type="dxa" w:w="2448"/>
            <w:vAlign w:val="top"/>
          </w:tcPr>
          <w:p>
            <w:pPr>
              <w:spacing w:after="40"/>
            </w:pPr>
            <w:r>
              <w:rPr>
                <w:rFonts w:ascii="Consolas" w:hAnsi="Consolas"/>
                <w:sz w:val="18"/>
              </w:rPr>
              <w:t>name</w:t>
            </w:r>
          </w:p>
        </w:tc>
        <w:tc>
          <w:tcPr>
            <w:tcW w:type="dxa" w:w="1728"/>
            <w:vAlign w:val="top"/>
          </w:tcPr>
          <w:p>
            <w:pPr>
              <w:spacing w:after="40"/>
            </w:pPr>
            <w:r>
              <w:rPr>
                <w:sz w:val="18"/>
              </w:rPr>
              <w:t>string</w:t>
            </w:r>
          </w:p>
        </w:tc>
        <w:tc>
          <w:tcPr>
            <w:tcW w:type="dxa" w:w="5184"/>
            <w:vAlign w:val="top"/>
          </w:tcPr>
          <w:p>
            <w:pPr>
              <w:spacing w:after="40"/>
            </w:pPr>
            <w:r>
              <w:rPr>
                <w:sz w:val="18"/>
              </w:rPr>
              <w:t>User label</w:t>
            </w:r>
          </w:p>
        </w:tc>
      </w:tr>
      <w:tr>
        <w:tc>
          <w:tcPr>
            <w:tcW w:type="dxa" w:w="2448"/>
            <w:vAlign w:val="top"/>
          </w:tcPr>
          <w:p>
            <w:pPr>
              <w:spacing w:after="40"/>
            </w:pPr>
            <w:r>
              <w:rPr>
                <w:rFonts w:ascii="Consolas" w:hAnsi="Consolas"/>
                <w:sz w:val="18"/>
              </w:rPr>
              <w:t>main / extra / side</w:t>
            </w:r>
          </w:p>
        </w:tc>
        <w:tc>
          <w:tcPr>
            <w:tcW w:type="dxa" w:w="1728"/>
            <w:vAlign w:val="top"/>
          </w:tcPr>
          <w:p>
            <w:pPr>
              <w:spacing w:after="40"/>
            </w:pPr>
            <w:r>
              <w:rPr>
                <w:sz w:val="18"/>
              </w:rPr>
              <w:t>id[]</w:t>
            </w:r>
          </w:p>
        </w:tc>
        <w:tc>
          <w:tcPr>
            <w:tcW w:type="dxa" w:w="5184"/>
            <w:vAlign w:val="top"/>
          </w:tcPr>
          <w:p>
            <w:pPr>
              <w:spacing w:after="40"/>
            </w:pPr>
            <w:r>
              <w:rPr>
                <w:sz w:val="18"/>
              </w:rPr>
              <w:t>Card ids with multiplicity as repeated ids (YDK-compatible); one encoding only in v1</w:t>
            </w:r>
          </w:p>
        </w:tc>
      </w:tr>
      <w:tr>
        <w:tc>
          <w:tcPr>
            <w:tcW w:type="dxa" w:w="2448"/>
            <w:vAlign w:val="top"/>
          </w:tcPr>
          <w:p>
            <w:pPr>
              <w:spacing w:after="40"/>
            </w:pPr>
            <w:r>
              <w:rPr>
                <w:rFonts w:ascii="Consolas" w:hAnsi="Consolas"/>
                <w:sz w:val="18"/>
              </w:rPr>
              <w:t>skillId</w:t>
            </w:r>
          </w:p>
        </w:tc>
        <w:tc>
          <w:tcPr>
            <w:tcW w:type="dxa" w:w="1728"/>
            <w:vAlign w:val="top"/>
          </w:tcPr>
          <w:p>
            <w:pPr>
              <w:spacing w:after="40"/>
            </w:pPr>
            <w:r>
              <w:rPr>
                <w:sz w:val="18"/>
              </w:rPr>
              <w:t>id?</w:t>
            </w:r>
          </w:p>
        </w:tc>
        <w:tc>
          <w:tcPr>
            <w:tcW w:type="dxa" w:w="5184"/>
            <w:vAlign w:val="top"/>
          </w:tcPr>
          <w:p>
            <w:pPr>
              <w:spacing w:after="40"/>
            </w:pPr>
            <w:r>
              <w:rPr>
                <w:sz w:val="18"/>
              </w:rPr>
              <w:t>Omitted when unused; Speed Duel Skill card id when the format requires it</w:t>
            </w:r>
          </w:p>
        </w:tc>
      </w:tr>
      <w:tr>
        <w:tc>
          <w:tcPr>
            <w:tcW w:type="dxa" w:w="2448"/>
            <w:vAlign w:val="top"/>
          </w:tcPr>
          <w:p>
            <w:pPr>
              <w:spacing w:after="40"/>
            </w:pPr>
            <w:r>
              <w:rPr>
                <w:rFonts w:ascii="Consolas" w:hAnsi="Consolas"/>
                <w:sz w:val="18"/>
              </w:rPr>
              <w:t>genesysCap</w:t>
            </w:r>
          </w:p>
        </w:tc>
        <w:tc>
          <w:tcPr>
            <w:tcW w:type="dxa" w:w="1728"/>
            <w:vAlign w:val="top"/>
          </w:tcPr>
          <w:p>
            <w:pPr>
              <w:spacing w:after="40"/>
            </w:pPr>
            <w:r>
              <w:rPr>
                <w:sz w:val="18"/>
              </w:rPr>
              <w:t>number?</w:t>
            </w:r>
          </w:p>
        </w:tc>
        <w:tc>
          <w:tcPr>
            <w:tcW w:type="dxa" w:w="5184"/>
            <w:vAlign w:val="top"/>
          </w:tcPr>
          <w:p>
            <w:pPr>
              <w:spacing w:after="40"/>
            </w:pPr>
            <w:r>
              <w:rPr>
                <w:sz w:val="18"/>
              </w:rPr>
              <w:t>When format is Genesys, default 100 if omitted; user-settable (OD-12). Omitted for other formats</w:t>
            </w:r>
          </w:p>
        </w:tc>
      </w:tr>
    </w:tbl>
    <w:p>
      <w:pPr>
        <w:spacing w:after="40"/>
      </w:pPr>
    </w:p>
    <w:p>
      <w:r>
        <w:rPr>
          <w:b/>
        </w:rPr>
        <w:t>Want list document</w:t>
      </w:r>
    </w:p>
    <w:tbl>
      <w:tblPr>
        <w:tblStyle w:val="TableGrid"/>
        <w:tblW w:type="auto" w:w="0"/>
        <w:tblLayout w:type="fixed"/>
        <w:tblLook w:firstColumn="1" w:firstRow="1" w:lastColumn="0" w:lastRow="0" w:noHBand="0" w:noVBand="1" w:val="04A0"/>
      </w:tblPr>
      <w:tblGrid>
        <w:gridCol w:w="2160"/>
        <w:gridCol w:w="1728"/>
        <w:gridCol w:w="5472"/>
      </w:tblGrid>
      <w:tr>
        <w:trPr>
          <w:tblHeader w:val="true"/>
        </w:trPr>
        <w:tc>
          <w:tcPr>
            <w:tcW w:type="dxa" w:w="2160"/>
            <w:shd w:val="clear" w:color="auto" w:fill="D9E2F3"/>
          </w:tcPr>
          <w:p>
            <w:r/>
            <w:r>
              <w:rPr>
                <w:b/>
                <w:sz w:val="18"/>
              </w:rPr>
              <w:t>Field</w:t>
            </w:r>
          </w:p>
        </w:tc>
        <w:tc>
          <w:tcPr>
            <w:tcW w:type="dxa" w:w="1728"/>
            <w:shd w:val="clear" w:color="auto" w:fill="D9E2F3"/>
          </w:tcPr>
          <w:p>
            <w:r/>
            <w:r>
              <w:rPr>
                <w:b/>
                <w:sz w:val="18"/>
              </w:rPr>
              <w:t>Type</w:t>
            </w:r>
          </w:p>
        </w:tc>
        <w:tc>
          <w:tcPr>
            <w:tcW w:type="dxa" w:w="5472"/>
            <w:shd w:val="clear" w:color="auto" w:fill="D9E2F3"/>
          </w:tcPr>
          <w:p>
            <w:r/>
            <w:r>
              <w:rPr>
                <w:b/>
                <w:sz w:val="18"/>
              </w:rPr>
              <w:t>Rule</w:t>
            </w:r>
          </w:p>
        </w:tc>
      </w:tr>
      <w:tr>
        <w:tc>
          <w:tcPr>
            <w:tcW w:type="dxa" w:w="2160"/>
            <w:vAlign w:val="top"/>
          </w:tcPr>
          <w:p>
            <w:pPr>
              <w:spacing w:after="40"/>
            </w:pPr>
            <w:r>
              <w:rPr>
                <w:rFonts w:ascii="Consolas" w:hAnsi="Consolas"/>
                <w:sz w:val="18"/>
              </w:rPr>
              <w:t>id</w:t>
            </w:r>
          </w:p>
        </w:tc>
        <w:tc>
          <w:tcPr>
            <w:tcW w:type="dxa" w:w="1728"/>
            <w:vAlign w:val="top"/>
          </w:tcPr>
          <w:p>
            <w:pPr>
              <w:spacing w:after="40"/>
            </w:pPr>
            <w:r>
              <w:rPr>
                <w:sz w:val="18"/>
              </w:rPr>
              <w:t>uuid</w:t>
            </w:r>
          </w:p>
        </w:tc>
        <w:tc>
          <w:tcPr>
            <w:tcW w:type="dxa" w:w="5472"/>
            <w:vAlign w:val="top"/>
          </w:tcPr>
          <w:p>
            <w:pPr>
              <w:spacing w:after="40"/>
            </w:pPr>
            <w:r>
              <w:rPr>
                <w:sz w:val="18"/>
              </w:rPr>
              <w:t>List id</w:t>
            </w:r>
          </w:p>
        </w:tc>
      </w:tr>
      <w:tr>
        <w:tc>
          <w:tcPr>
            <w:tcW w:type="dxa" w:w="2160"/>
            <w:vAlign w:val="top"/>
          </w:tcPr>
          <w:p>
            <w:pPr>
              <w:spacing w:after="40"/>
            </w:pPr>
            <w:r>
              <w:rPr>
                <w:rFonts w:ascii="Consolas" w:hAnsi="Consolas"/>
                <w:sz w:val="18"/>
              </w:rPr>
              <w:t>ownerId</w:t>
            </w:r>
          </w:p>
        </w:tc>
        <w:tc>
          <w:tcPr>
            <w:tcW w:type="dxa" w:w="1728"/>
            <w:vAlign w:val="top"/>
          </w:tcPr>
          <w:p>
            <w:pPr>
              <w:spacing w:after="40"/>
            </w:pPr>
            <w:r>
              <w:rPr>
                <w:sz w:val="18"/>
              </w:rPr>
              <w:t>uuid?</w:t>
            </w:r>
          </w:p>
        </w:tc>
        <w:tc>
          <w:tcPr>
            <w:tcW w:type="dxa" w:w="5472"/>
            <w:vAlign w:val="top"/>
          </w:tcPr>
          <w:p>
            <w:pPr>
              <w:spacing w:after="40"/>
            </w:pPr>
            <w:r>
              <w:rPr>
                <w:sz w:val="18"/>
              </w:rPr>
              <w:t>Null for guest</w:t>
            </w:r>
          </w:p>
        </w:tc>
      </w:tr>
      <w:tr>
        <w:tc>
          <w:tcPr>
            <w:tcW w:type="dxa" w:w="2160"/>
            <w:vAlign w:val="top"/>
          </w:tcPr>
          <w:p>
            <w:pPr>
              <w:spacing w:after="40"/>
            </w:pPr>
            <w:r>
              <w:rPr>
                <w:rFonts w:ascii="Consolas" w:hAnsi="Consolas"/>
                <w:sz w:val="18"/>
              </w:rPr>
              <w:t>name</w:t>
            </w:r>
          </w:p>
        </w:tc>
        <w:tc>
          <w:tcPr>
            <w:tcW w:type="dxa" w:w="1728"/>
            <w:vAlign w:val="top"/>
          </w:tcPr>
          <w:p>
            <w:pPr>
              <w:spacing w:after="40"/>
            </w:pPr>
            <w:r>
              <w:rPr>
                <w:sz w:val="18"/>
              </w:rPr>
              <w:t>string</w:t>
            </w:r>
          </w:p>
        </w:tc>
        <w:tc>
          <w:tcPr>
            <w:tcW w:type="dxa" w:w="5472"/>
            <w:vAlign w:val="top"/>
          </w:tcPr>
          <w:p>
            <w:pPr>
              <w:spacing w:after="40"/>
            </w:pPr>
            <w:r>
              <w:rPr>
                <w:sz w:val="18"/>
              </w:rPr>
              <w:t>User label</w:t>
            </w:r>
          </w:p>
        </w:tc>
      </w:tr>
      <w:tr>
        <w:tc>
          <w:tcPr>
            <w:tcW w:type="dxa" w:w="2160"/>
            <w:vAlign w:val="top"/>
          </w:tcPr>
          <w:p>
            <w:pPr>
              <w:spacing w:after="40"/>
            </w:pPr>
            <w:r>
              <w:rPr>
                <w:rFonts w:ascii="Consolas" w:hAnsi="Consolas"/>
                <w:sz w:val="18"/>
              </w:rPr>
              <w:t>items</w:t>
            </w:r>
          </w:p>
        </w:tc>
        <w:tc>
          <w:tcPr>
            <w:tcW w:type="dxa" w:w="1728"/>
            <w:vAlign w:val="top"/>
          </w:tcPr>
          <w:p>
            <w:pPr>
              <w:spacing w:after="40"/>
            </w:pPr>
            <w:r>
              <w:rPr>
                <w:sz w:val="18"/>
              </w:rPr>
              <w:t>array</w:t>
            </w:r>
          </w:p>
        </w:tc>
        <w:tc>
          <w:tcPr>
            <w:tcW w:type="dxa" w:w="5472"/>
            <w:vAlign w:val="top"/>
          </w:tcPr>
          <w:p>
            <w:pPr>
              <w:spacing w:after="40"/>
            </w:pPr>
            <w:r>
              <w:rPr>
                <w:sz w:val="18"/>
              </w:rPr>
              <w:t>want_list_items: card_id, quantity, target_set?, target_rarity?, note?, acquired, purchase_price?</w:t>
            </w:r>
          </w:p>
        </w:tc>
      </w:tr>
    </w:tbl>
    <w:p>
      <w:pPr>
        <w:spacing w:after="40"/>
      </w:pPr>
    </w:p>
    <w:p>
      <w:r>
        <w:rPr>
          <w:b/>
        </w:rPr>
        <w:t>Collection item</w:t>
      </w:r>
    </w:p>
    <w:tbl>
      <w:tblPr>
        <w:tblStyle w:val="TableGrid"/>
        <w:tblW w:type="auto" w:w="0"/>
        <w:tblLayout w:type="fixed"/>
        <w:tblLook w:firstColumn="1" w:firstRow="1" w:lastColumn="0" w:lastRow="0" w:noHBand="0" w:noVBand="1" w:val="04A0"/>
      </w:tblPr>
      <w:tblGrid>
        <w:gridCol w:w="2160"/>
        <w:gridCol w:w="1728"/>
        <w:gridCol w:w="5472"/>
      </w:tblGrid>
      <w:tr>
        <w:trPr>
          <w:tblHeader w:val="true"/>
        </w:trPr>
        <w:tc>
          <w:tcPr>
            <w:tcW w:type="dxa" w:w="2160"/>
            <w:shd w:val="clear" w:color="auto" w:fill="D9E2F3"/>
          </w:tcPr>
          <w:p>
            <w:r/>
            <w:r>
              <w:rPr>
                <w:b/>
                <w:sz w:val="18"/>
              </w:rPr>
              <w:t>Field</w:t>
            </w:r>
          </w:p>
        </w:tc>
        <w:tc>
          <w:tcPr>
            <w:tcW w:type="dxa" w:w="1728"/>
            <w:shd w:val="clear" w:color="auto" w:fill="D9E2F3"/>
          </w:tcPr>
          <w:p>
            <w:r/>
            <w:r>
              <w:rPr>
                <w:b/>
                <w:sz w:val="18"/>
              </w:rPr>
              <w:t>Type</w:t>
            </w:r>
          </w:p>
        </w:tc>
        <w:tc>
          <w:tcPr>
            <w:tcW w:type="dxa" w:w="5472"/>
            <w:shd w:val="clear" w:color="auto" w:fill="D9E2F3"/>
          </w:tcPr>
          <w:p>
            <w:r/>
            <w:r>
              <w:rPr>
                <w:b/>
                <w:sz w:val="18"/>
              </w:rPr>
              <w:t>Rule</w:t>
            </w:r>
          </w:p>
        </w:tc>
      </w:tr>
      <w:tr>
        <w:tc>
          <w:tcPr>
            <w:tcW w:type="dxa" w:w="2160"/>
            <w:vAlign w:val="top"/>
          </w:tcPr>
          <w:p>
            <w:pPr>
              <w:spacing w:after="40"/>
            </w:pPr>
            <w:r>
              <w:rPr>
                <w:rFonts w:ascii="Consolas" w:hAnsi="Consolas"/>
                <w:sz w:val="18"/>
              </w:rPr>
              <w:t>id</w:t>
            </w:r>
          </w:p>
        </w:tc>
        <w:tc>
          <w:tcPr>
            <w:tcW w:type="dxa" w:w="1728"/>
            <w:vAlign w:val="top"/>
          </w:tcPr>
          <w:p>
            <w:pPr>
              <w:spacing w:after="40"/>
            </w:pPr>
            <w:r>
              <w:rPr>
                <w:sz w:val="18"/>
              </w:rPr>
              <w:t>uuid</w:t>
            </w:r>
          </w:p>
        </w:tc>
        <w:tc>
          <w:tcPr>
            <w:tcW w:type="dxa" w:w="5472"/>
            <w:vAlign w:val="top"/>
          </w:tcPr>
          <w:p>
            <w:pPr>
              <w:spacing w:after="40"/>
            </w:pPr>
            <w:r>
              <w:rPr>
                <w:sz w:val="18"/>
              </w:rPr>
              <w:t>Item id</w:t>
            </w:r>
          </w:p>
        </w:tc>
      </w:tr>
      <w:tr>
        <w:tc>
          <w:tcPr>
            <w:tcW w:type="dxa" w:w="2160"/>
            <w:vAlign w:val="top"/>
          </w:tcPr>
          <w:p>
            <w:pPr>
              <w:spacing w:after="40"/>
            </w:pPr>
            <w:r>
              <w:rPr>
                <w:rFonts w:ascii="Consolas" w:hAnsi="Consolas"/>
                <w:sz w:val="18"/>
              </w:rPr>
              <w:t>ownerId</w:t>
            </w:r>
          </w:p>
        </w:tc>
        <w:tc>
          <w:tcPr>
            <w:tcW w:type="dxa" w:w="1728"/>
            <w:vAlign w:val="top"/>
          </w:tcPr>
          <w:p>
            <w:pPr>
              <w:spacing w:after="40"/>
            </w:pPr>
            <w:r>
              <w:rPr>
                <w:sz w:val="18"/>
              </w:rPr>
              <w:t>uuid?</w:t>
            </w:r>
          </w:p>
        </w:tc>
        <w:tc>
          <w:tcPr>
            <w:tcW w:type="dxa" w:w="5472"/>
            <w:vAlign w:val="top"/>
          </w:tcPr>
          <w:p>
            <w:pPr>
              <w:spacing w:after="40"/>
            </w:pPr>
            <w:r>
              <w:rPr>
                <w:sz w:val="18"/>
              </w:rPr>
              <w:t>Null for guest</w:t>
            </w:r>
          </w:p>
        </w:tc>
      </w:tr>
      <w:tr>
        <w:tc>
          <w:tcPr>
            <w:tcW w:type="dxa" w:w="2160"/>
            <w:vAlign w:val="top"/>
          </w:tcPr>
          <w:p>
            <w:pPr>
              <w:spacing w:after="40"/>
            </w:pPr>
            <w:r>
              <w:rPr>
                <w:rFonts w:ascii="Consolas" w:hAnsi="Consolas"/>
                <w:sz w:val="18"/>
              </w:rPr>
              <w:t>cardId</w:t>
            </w:r>
          </w:p>
        </w:tc>
        <w:tc>
          <w:tcPr>
            <w:tcW w:type="dxa" w:w="1728"/>
            <w:vAlign w:val="top"/>
          </w:tcPr>
          <w:p>
            <w:pPr>
              <w:spacing w:after="40"/>
            </w:pPr>
            <w:r>
              <w:rPr>
                <w:sz w:val="18"/>
              </w:rPr>
              <w:t>string</w:t>
            </w:r>
          </w:p>
        </w:tc>
        <w:tc>
          <w:tcPr>
            <w:tcW w:type="dxa" w:w="5472"/>
            <w:vAlign w:val="top"/>
          </w:tcPr>
          <w:p>
            <w:pPr>
              <w:spacing w:after="40"/>
            </w:pPr>
            <w:r>
              <w:rPr>
                <w:sz w:val="18"/>
              </w:rPr>
              <w:t>Catalog card id</w:t>
            </w:r>
          </w:p>
        </w:tc>
      </w:tr>
      <w:tr>
        <w:tc>
          <w:tcPr>
            <w:tcW w:type="dxa" w:w="2160"/>
            <w:vAlign w:val="top"/>
          </w:tcPr>
          <w:p>
            <w:pPr>
              <w:spacing w:after="40"/>
            </w:pPr>
            <w:r>
              <w:rPr>
                <w:rFonts w:ascii="Consolas" w:hAnsi="Consolas"/>
                <w:sz w:val="18"/>
              </w:rPr>
              <w:t>quantity</w:t>
            </w:r>
          </w:p>
        </w:tc>
        <w:tc>
          <w:tcPr>
            <w:tcW w:type="dxa" w:w="1728"/>
            <w:vAlign w:val="top"/>
          </w:tcPr>
          <w:p>
            <w:pPr>
              <w:spacing w:after="40"/>
            </w:pPr>
            <w:r>
              <w:rPr>
                <w:sz w:val="18"/>
              </w:rPr>
              <w:t>number</w:t>
            </w:r>
          </w:p>
        </w:tc>
        <w:tc>
          <w:tcPr>
            <w:tcW w:type="dxa" w:w="5472"/>
            <w:vAlign w:val="top"/>
          </w:tcPr>
          <w:p>
            <w:pPr>
              <w:spacing w:after="40"/>
            </w:pPr>
            <w:r>
              <w:rPr>
                <w:sz w:val="18"/>
              </w:rPr>
              <w:t>Owned copies of this printing</w:t>
            </w:r>
          </w:p>
        </w:tc>
      </w:tr>
      <w:tr>
        <w:tc>
          <w:tcPr>
            <w:tcW w:type="dxa" w:w="2160"/>
            <w:vAlign w:val="top"/>
          </w:tcPr>
          <w:p>
            <w:pPr>
              <w:spacing w:after="40"/>
            </w:pPr>
            <w:r>
              <w:rPr>
                <w:rFonts w:ascii="Consolas" w:hAnsi="Consolas"/>
                <w:sz w:val="18"/>
              </w:rPr>
              <w:t>setCode</w:t>
            </w:r>
          </w:p>
        </w:tc>
        <w:tc>
          <w:tcPr>
            <w:tcW w:type="dxa" w:w="1728"/>
            <w:vAlign w:val="top"/>
          </w:tcPr>
          <w:p>
            <w:pPr>
              <w:spacing w:after="40"/>
            </w:pPr>
            <w:r>
              <w:rPr>
                <w:sz w:val="18"/>
              </w:rPr>
              <w:t>string</w:t>
            </w:r>
          </w:p>
        </w:tc>
        <w:tc>
          <w:tcPr>
            <w:tcW w:type="dxa" w:w="5472"/>
            <w:vAlign w:val="top"/>
          </w:tcPr>
          <w:p>
            <w:pPr>
              <w:spacing w:after="40"/>
            </w:pPr>
            <w:r>
              <w:rPr>
                <w:sz w:val="18"/>
              </w:rPr>
              <w:t>Printing set code</w:t>
            </w:r>
          </w:p>
        </w:tc>
      </w:tr>
      <w:tr>
        <w:tc>
          <w:tcPr>
            <w:tcW w:type="dxa" w:w="2160"/>
            <w:vAlign w:val="top"/>
          </w:tcPr>
          <w:p>
            <w:pPr>
              <w:spacing w:after="40"/>
            </w:pPr>
            <w:r>
              <w:rPr>
                <w:rFonts w:ascii="Consolas" w:hAnsi="Consolas"/>
                <w:sz w:val="18"/>
              </w:rPr>
              <w:t>rarity</w:t>
            </w:r>
          </w:p>
        </w:tc>
        <w:tc>
          <w:tcPr>
            <w:tcW w:type="dxa" w:w="1728"/>
            <w:vAlign w:val="top"/>
          </w:tcPr>
          <w:p>
            <w:pPr>
              <w:spacing w:after="40"/>
            </w:pPr>
            <w:r>
              <w:rPr>
                <w:sz w:val="18"/>
              </w:rPr>
              <w:t>string</w:t>
            </w:r>
          </w:p>
        </w:tc>
        <w:tc>
          <w:tcPr>
            <w:tcW w:type="dxa" w:w="5472"/>
            <w:vAlign w:val="top"/>
          </w:tcPr>
          <w:p>
            <w:pPr>
              <w:spacing w:after="40"/>
            </w:pPr>
            <w:r>
              <w:rPr>
                <w:sz w:val="18"/>
              </w:rPr>
              <w:t>Printing rarity</w:t>
            </w:r>
          </w:p>
        </w:tc>
      </w:tr>
    </w:tbl>
    <w:p>
      <w:pPr>
        <w:spacing w:after="40"/>
      </w:pPr>
    </w:p>
    <w:p>
      <w:r>
        <w:rPr>
          <w:b/>
        </w:rPr>
        <w:t>Curated file schemas</w:t>
      </w:r>
      <w:r>
        <w:t xml:space="preserve"> (validated in the pipeline)</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8"/>
              </w:rPr>
              <w:t>File</w:t>
            </w:r>
          </w:p>
        </w:tc>
        <w:tc>
          <w:tcPr>
            <w:tcW w:type="dxa" w:w="7056"/>
            <w:shd w:val="clear" w:color="auto" w:fill="D9E2F3"/>
          </w:tcPr>
          <w:p>
            <w:r/>
            <w:r>
              <w:rPr>
                <w:b/>
                <w:sz w:val="18"/>
              </w:rPr>
              <w:t>Rule</w:t>
            </w:r>
          </w:p>
        </w:tc>
      </w:tr>
      <w:tr>
        <w:tc>
          <w:tcPr>
            <w:tcW w:type="dxa" w:w="2304"/>
            <w:vAlign w:val="top"/>
          </w:tcPr>
          <w:p>
            <w:pPr>
              <w:spacing w:after="40"/>
            </w:pPr>
            <w:r>
              <w:rPr>
                <w:sz w:val="18"/>
              </w:rPr>
              <w:t>format descriptor</w:t>
            </w:r>
          </w:p>
        </w:tc>
        <w:tc>
          <w:tcPr>
            <w:tcW w:type="dxa" w:w="7056"/>
            <w:vAlign w:val="top"/>
          </w:tcPr>
          <w:p>
            <w:pPr>
              <w:spacing w:after="40"/>
            </w:pPr>
            <w:r>
              <w:rPr>
                <w:sz w:val="18"/>
              </w:rPr>
              <w:t>Required keys for id, name, pool rule, size rules, banlist or points mode, source notes; unknown fields refused</w:t>
            </w:r>
          </w:p>
        </w:tc>
      </w:tr>
      <w:tr>
        <w:tc>
          <w:tcPr>
            <w:tcW w:type="dxa" w:w="2304"/>
            <w:vAlign w:val="top"/>
          </w:tcPr>
          <w:p>
            <w:pPr>
              <w:spacing w:after="40"/>
            </w:pPr>
            <w:r>
              <w:rPr>
                <w:sz w:val="18"/>
              </w:rPr>
              <w:t>banlist snapshot</w:t>
            </w:r>
          </w:p>
        </w:tc>
        <w:tc>
          <w:tcPr>
            <w:tcW w:type="dxa" w:w="7056"/>
            <w:vAlign w:val="top"/>
          </w:tcPr>
          <w:p>
            <w:pPr>
              <w:spacing w:after="40"/>
            </w:pPr>
            <w:r>
              <w:rPr>
                <w:sz w:val="18"/>
              </w:rPr>
              <w:t>formatId, effective date, card id → status enum; unknown fields refused</w:t>
            </w:r>
          </w:p>
        </w:tc>
      </w:tr>
      <w:tr>
        <w:tc>
          <w:tcPr>
            <w:tcW w:type="dxa" w:w="2304"/>
            <w:vAlign w:val="top"/>
          </w:tcPr>
          <w:p>
            <w:pPr>
              <w:spacing w:after="40"/>
            </w:pPr>
            <w:r>
              <w:rPr>
                <w:sz w:val="18"/>
              </w:rPr>
              <w:t>overrides.json</w:t>
            </w:r>
          </w:p>
        </w:tc>
        <w:tc>
          <w:tcPr>
            <w:tcW w:type="dxa" w:w="7056"/>
            <w:vAlign w:val="top"/>
          </w:tcPr>
          <w:p>
            <w:pPr>
              <w:spacing w:after="40"/>
            </w:pPr>
            <w:r>
              <w:rPr>
                <w:sz w:val="18"/>
              </w:rPr>
              <w:t>card id, field, value, reason; card id must exist after normalize or validation fails</w:t>
            </w:r>
          </w:p>
        </w:tc>
      </w:tr>
    </w:tbl>
    <w:p>
      <w:pPr>
        <w:spacing w:after="40"/>
      </w:pPr>
    </w:p>
    <w:p>
      <w:pPr>
        <w:pStyle w:val="Heading2"/>
      </w:pPr>
      <w:r>
        <w:t>6.10 Export and import contract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8"/>
              </w:rPr>
              <w:t>Field</w:t>
            </w:r>
          </w:p>
        </w:tc>
        <w:tc>
          <w:tcPr>
            <w:tcW w:type="dxa" w:w="7200"/>
            <w:shd w:val="clear" w:color="auto" w:fill="D9E2F3"/>
          </w:tcPr>
          <w:p>
            <w:r/>
            <w:r>
              <w:rPr>
                <w:b/>
                <w:sz w:val="18"/>
              </w:rPr>
              <w:t>Rule</w:t>
            </w:r>
          </w:p>
        </w:tc>
      </w:tr>
      <w:tr>
        <w:tc>
          <w:tcPr>
            <w:tcW w:type="dxa" w:w="2160"/>
            <w:vAlign w:val="top"/>
          </w:tcPr>
          <w:p>
            <w:pPr>
              <w:spacing w:after="40"/>
            </w:pPr>
            <w:r>
              <w:rPr>
                <w:sz w:val="18"/>
              </w:rPr>
              <w:t>Export</w:t>
            </w:r>
          </w:p>
        </w:tc>
        <w:tc>
          <w:tcPr>
            <w:tcW w:type="dxa" w:w="7200"/>
            <w:vAlign w:val="top"/>
          </w:tcPr>
          <w:p>
            <w:pPr>
              <w:spacing w:after="40"/>
            </w:pPr>
            <w:r>
              <w:rPr>
                <w:sz w:val="18"/>
              </w:rPr>
              <w:t>Outcomes: {ok, blob|text} | {error, code, message, retryable}</w:t>
            </w:r>
          </w:p>
        </w:tc>
      </w:tr>
      <w:tr>
        <w:tc>
          <w:tcPr>
            <w:tcW w:type="dxa" w:w="2160"/>
            <w:vAlign w:val="top"/>
          </w:tcPr>
          <w:p>
            <w:pPr>
              <w:spacing w:after="40"/>
            </w:pPr>
            <w:r>
              <w:rPr>
                <w:sz w:val="18"/>
              </w:rPr>
              <w:t>Import YDK</w:t>
            </w:r>
          </w:p>
        </w:tc>
        <w:tc>
          <w:tcPr>
            <w:tcW w:type="dxa" w:w="7200"/>
            <w:vAlign w:val="top"/>
          </w:tcPr>
          <w:p>
            <w:pPr>
              <w:spacing w:after="40"/>
            </w:pPr>
            <w:r>
              <w:rPr>
                <w:sz w:val="18"/>
              </w:rPr>
              <w:t>UTF-8 text only. Hard caps on file bytes and line count. Outcomes: {ok, deck} | {refused, reason, message} (bad markers, non-UTF-8, over size, unknown card ids with count) | {error, code, message, retryable}</w:t>
            </w:r>
          </w:p>
        </w:tc>
      </w:tr>
      <w:tr>
        <w:tc>
          <w:tcPr>
            <w:tcW w:type="dxa" w:w="2160"/>
            <w:vAlign w:val="top"/>
          </w:tcPr>
          <w:p>
            <w:pPr>
              <w:spacing w:after="40"/>
            </w:pPr>
            <w:r>
              <w:rPr>
                <w:sz w:val="18"/>
              </w:rPr>
              <w:t>Skill rule</w:t>
            </w:r>
          </w:p>
        </w:tc>
        <w:tc>
          <w:tcPr>
            <w:tcW w:type="dxa" w:w="7200"/>
            <w:vAlign w:val="top"/>
          </w:tcPr>
          <w:p>
            <w:pPr>
              <w:spacing w:after="40"/>
            </w:pPr>
            <w:r>
              <w:rPr>
                <w:sz w:val="18"/>
              </w:rPr>
              <w:t>Skill id under #main maps to skillId; never eval or execute imported content</w:t>
            </w:r>
          </w:p>
        </w:tc>
      </w:tr>
    </w:tbl>
    <w:p>
      <w:pPr>
        <w:spacing w:after="40"/>
      </w:pPr>
    </w:p>
    <w:p>
      <w:pPr>
        <w:pStyle w:val="Heading2"/>
      </w:pPr>
      <w:r>
        <w:t>6.11 Supabase tables and RLS</w:t>
      </w:r>
    </w:p>
    <w:tbl>
      <w:tblPr>
        <w:tblStyle w:val="TableGrid"/>
        <w:tblW w:type="auto" w:w="0"/>
        <w:tblLayout w:type="fixed"/>
        <w:tblLook w:firstColumn="1" w:firstRow="1" w:lastColumn="0" w:lastRow="0" w:noHBand="0" w:noVBand="1" w:val="04A0"/>
      </w:tblPr>
      <w:tblGrid>
        <w:gridCol w:w="1584"/>
        <w:gridCol w:w="3168"/>
        <w:gridCol w:w="2016"/>
        <w:gridCol w:w="2592"/>
      </w:tblGrid>
      <w:tr>
        <w:trPr>
          <w:tblHeader w:val="true"/>
        </w:trPr>
        <w:tc>
          <w:tcPr>
            <w:tcW w:type="dxa" w:w="1584"/>
            <w:shd w:val="clear" w:color="auto" w:fill="D9E2F3"/>
          </w:tcPr>
          <w:p>
            <w:r/>
            <w:r>
              <w:rPr>
                <w:b/>
                <w:sz w:val="16"/>
              </w:rPr>
              <w:t>Table</w:t>
            </w:r>
          </w:p>
        </w:tc>
        <w:tc>
          <w:tcPr>
            <w:tcW w:type="dxa" w:w="3168"/>
            <w:shd w:val="clear" w:color="auto" w:fill="D9E2F3"/>
          </w:tcPr>
          <w:p>
            <w:r/>
            <w:r>
              <w:rPr>
                <w:b/>
                <w:sz w:val="16"/>
              </w:rPr>
              <w:t>Keys / columns</w:t>
            </w:r>
          </w:p>
        </w:tc>
        <w:tc>
          <w:tcPr>
            <w:tcW w:type="dxa" w:w="2016"/>
            <w:shd w:val="clear" w:color="auto" w:fill="D9E2F3"/>
          </w:tcPr>
          <w:p>
            <w:r/>
            <w:r>
              <w:rPr>
                <w:b/>
                <w:sz w:val="16"/>
              </w:rPr>
              <w:t>Purpose</w:t>
            </w:r>
          </w:p>
        </w:tc>
        <w:tc>
          <w:tcPr>
            <w:tcW w:type="dxa" w:w="2592"/>
            <w:shd w:val="clear" w:color="auto" w:fill="D9E2F3"/>
          </w:tcPr>
          <w:p>
            <w:r/>
            <w:r>
              <w:rPr>
                <w:b/>
                <w:sz w:val="16"/>
              </w:rPr>
              <w:t>Access</w:t>
            </w:r>
          </w:p>
        </w:tc>
      </w:tr>
      <w:tr>
        <w:tc>
          <w:tcPr>
            <w:tcW w:type="dxa" w:w="1584"/>
            <w:vAlign w:val="top"/>
          </w:tcPr>
          <w:p>
            <w:pPr>
              <w:spacing w:after="40"/>
            </w:pPr>
            <w:r>
              <w:rPr>
                <w:sz w:val="16"/>
              </w:rPr>
              <w:t>profiles</w:t>
            </w:r>
          </w:p>
        </w:tc>
        <w:tc>
          <w:tcPr>
            <w:tcW w:type="dxa" w:w="3168"/>
            <w:vAlign w:val="top"/>
          </w:tcPr>
          <w:p>
            <w:pPr>
              <w:spacing w:after="40"/>
            </w:pPr>
            <w:r>
              <w:rPr>
                <w:sz w:val="16"/>
              </w:rPr>
              <w:t>id uuid PK (= auth.users.id); card_view_pref text nullable (list|grid|table); table_column_prefs jsonb nullable (per-table full setup: visible column keys, order, widths, sort {key,dir}, active column filters — keyed for search if customized, each list id, collection)</w:t>
            </w:r>
          </w:p>
        </w:tc>
        <w:tc>
          <w:tcPr>
            <w:tcW w:type="dxa" w:w="2016"/>
            <w:vAlign w:val="top"/>
          </w:tcPr>
          <w:p>
            <w:pPr>
              <w:spacing w:after="40"/>
            </w:pPr>
            <w:r>
              <w:rPr>
                <w:sz w:val="16"/>
              </w:rPr>
              <w:t>display + view + table-layout preferences</w:t>
            </w:r>
          </w:p>
        </w:tc>
        <w:tc>
          <w:tcPr>
            <w:tcW w:type="dxa" w:w="2592"/>
            <w:vAlign w:val="top"/>
          </w:tcPr>
          <w:p>
            <w:pPr>
              <w:spacing w:after="40"/>
            </w:pPr>
            <w:r>
              <w:rPr>
                <w:sz w:val="16"/>
              </w:rPr>
              <w:t>RLS: user reads/updates own row only</w:t>
            </w:r>
          </w:p>
        </w:tc>
      </w:tr>
      <w:tr>
        <w:tc>
          <w:tcPr>
            <w:tcW w:type="dxa" w:w="1584"/>
            <w:vAlign w:val="top"/>
          </w:tcPr>
          <w:p>
            <w:pPr>
              <w:spacing w:after="40"/>
            </w:pPr>
            <w:r>
              <w:rPr>
                <w:sz w:val="16"/>
              </w:rPr>
              <w:t>decks</w:t>
            </w:r>
          </w:p>
        </w:tc>
        <w:tc>
          <w:tcPr>
            <w:tcW w:type="dxa" w:w="3168"/>
            <w:vAlign w:val="top"/>
          </w:tcPr>
          <w:p>
            <w:pPr>
              <w:spacing w:after="40"/>
            </w:pPr>
            <w:r>
              <w:rPr>
                <w:sz w:val="16"/>
              </w:rPr>
              <w:t>id uuid PK; owner_id uuid FK → auth.users ON DELETE CASCADE; deck_schema_version int; name; format_id; main/extra/side jsonb (entries: card_id plus optional purchase_price, condition, variant flags, my_value — REC-VALUE-02; v1 may keep bare ids and resolve paid from matching collection_items); skill_id; genesys_cap; updated_at</w:t>
            </w:r>
          </w:p>
        </w:tc>
        <w:tc>
          <w:tcPr>
            <w:tcW w:type="dxa" w:w="2016"/>
            <w:vAlign w:val="top"/>
          </w:tcPr>
          <w:p>
            <w:pPr>
              <w:spacing w:after="40"/>
            </w:pPr>
            <w:r>
              <w:rPr>
                <w:sz w:val="16"/>
              </w:rPr>
              <w:t>Saved deck document</w:t>
            </w:r>
          </w:p>
        </w:tc>
        <w:tc>
          <w:tcPr>
            <w:tcW w:type="dxa" w:w="2592"/>
            <w:vAlign w:val="top"/>
          </w:tcPr>
          <w:p>
            <w:pPr>
              <w:spacing w:after="40"/>
            </w:pPr>
            <w:r>
              <w:rPr>
                <w:sz w:val="16"/>
              </w:rPr>
              <w:t>RLS: owner CRUD where owner_id = auth.uid()</w:t>
            </w:r>
          </w:p>
        </w:tc>
      </w:tr>
      <w:tr>
        <w:tc>
          <w:tcPr>
            <w:tcW w:type="dxa" w:w="1584"/>
            <w:vAlign w:val="top"/>
          </w:tcPr>
          <w:p>
            <w:pPr>
              <w:spacing w:after="40"/>
            </w:pPr>
            <w:r>
              <w:rPr>
                <w:sz w:val="16"/>
              </w:rPr>
              <w:t>want_lists</w:t>
            </w:r>
          </w:p>
        </w:tc>
        <w:tc>
          <w:tcPr>
            <w:tcW w:type="dxa" w:w="3168"/>
            <w:vAlign w:val="top"/>
          </w:tcPr>
          <w:p>
            <w:pPr>
              <w:spacing w:after="40"/>
            </w:pPr>
            <w:r>
              <w:rPr>
                <w:sz w:val="16"/>
              </w:rPr>
              <w:t>id uuid PK; owner_id uuid FK → auth.users ON DELETE CASCADE; name; updated_at</w:t>
            </w:r>
          </w:p>
        </w:tc>
        <w:tc>
          <w:tcPr>
            <w:tcW w:type="dxa" w:w="2016"/>
            <w:vAlign w:val="top"/>
          </w:tcPr>
          <w:p>
            <w:pPr>
              <w:spacing w:after="40"/>
            </w:pPr>
            <w:r>
              <w:rPr>
                <w:sz w:val="16"/>
              </w:rPr>
              <w:t>Named want list</w:t>
            </w:r>
          </w:p>
        </w:tc>
        <w:tc>
          <w:tcPr>
            <w:tcW w:type="dxa" w:w="2592"/>
            <w:vAlign w:val="top"/>
          </w:tcPr>
          <w:p>
            <w:pPr>
              <w:spacing w:after="40"/>
            </w:pPr>
            <w:r>
              <w:rPr>
                <w:sz w:val="16"/>
              </w:rPr>
              <w:t>RLS: owner CRUD where owner_id = auth.uid()</w:t>
            </w:r>
          </w:p>
        </w:tc>
      </w:tr>
      <w:tr>
        <w:tc>
          <w:tcPr>
            <w:tcW w:type="dxa" w:w="1584"/>
            <w:vAlign w:val="top"/>
          </w:tcPr>
          <w:p>
            <w:pPr>
              <w:spacing w:after="40"/>
            </w:pPr>
            <w:r>
              <w:rPr>
                <w:sz w:val="16"/>
              </w:rPr>
              <w:t>want_list_items</w:t>
            </w:r>
          </w:p>
        </w:tc>
        <w:tc>
          <w:tcPr>
            <w:tcW w:type="dxa" w:w="3168"/>
            <w:vAlign w:val="top"/>
          </w:tcPr>
          <w:p>
            <w:pPr>
              <w:spacing w:after="40"/>
            </w:pPr>
            <w:r>
              <w:rPr>
                <w:sz w:val="16"/>
              </w:rPr>
              <w:t>id uuid PK; want_list_id uuid FK → want_lists ON DELETE CASCADE; card_id text; quantity int; target_set text nullable; target_rarity text nullable; note text nullable; acquired bool default false; purchase_price numeric(12,2) nullable (USD; user-entered — meaning on want lists open REC-TABLE-02); condition text nullable (nm|lp|mp|hp|dmg); variant_eu bool default false; variant_1st bool default false; variant_faded bool default false; my_value numeric(12,2) nullable (USD override — REC-VALUE-01)</w:t>
            </w:r>
          </w:p>
        </w:tc>
        <w:tc>
          <w:tcPr>
            <w:tcW w:type="dxa" w:w="2016"/>
            <w:vAlign w:val="top"/>
          </w:tcPr>
          <w:p>
            <w:pPr>
              <w:spacing w:after="40"/>
            </w:pPr>
            <w:r>
              <w:rPr>
                <w:sz w:val="16"/>
              </w:rPr>
              <w:t>Want list entry</w:t>
            </w:r>
          </w:p>
        </w:tc>
        <w:tc>
          <w:tcPr>
            <w:tcW w:type="dxa" w:w="2592"/>
            <w:vAlign w:val="top"/>
          </w:tcPr>
          <w:p>
            <w:pPr>
              <w:spacing w:after="40"/>
            </w:pPr>
            <w:r>
              <w:rPr>
                <w:sz w:val="16"/>
              </w:rPr>
              <w:t>RLS: owner via parent want_lists</w:t>
            </w:r>
          </w:p>
        </w:tc>
      </w:tr>
      <w:tr>
        <w:tc>
          <w:tcPr>
            <w:tcW w:type="dxa" w:w="1584"/>
            <w:vAlign w:val="top"/>
          </w:tcPr>
          <w:p>
            <w:pPr>
              <w:spacing w:after="40"/>
            </w:pPr>
            <w:r>
              <w:rPr>
                <w:sz w:val="16"/>
              </w:rPr>
              <w:t>collection_items</w:t>
            </w:r>
          </w:p>
        </w:tc>
        <w:tc>
          <w:tcPr>
            <w:tcW w:type="dxa" w:w="3168"/>
            <w:vAlign w:val="top"/>
          </w:tcPr>
          <w:p>
            <w:pPr>
              <w:spacing w:after="40"/>
            </w:pPr>
            <w:r>
              <w:rPr>
                <w:sz w:val="16"/>
              </w:rPr>
              <w:t>id uuid PK; owner_id uuid FK → auth.users ON DELETE CASCADE; card_id text; quantity int; set_code text; rarity text; purchase_price numeric(12,2) nullable (USD; what the user paid); condition text nullable (nm|lp|mp|hp|dmg); variant_eu bool default false; variant_1st bool default false; variant_faded bool default false; my_value numeric(12,2) nullable (USD override — REC-VALUE-01); unique(owner_id, card_id, set_code, rarity)</w:t>
            </w:r>
          </w:p>
        </w:tc>
        <w:tc>
          <w:tcPr>
            <w:tcW w:type="dxa" w:w="2016"/>
            <w:vAlign w:val="top"/>
          </w:tcPr>
          <w:p>
            <w:pPr>
              <w:spacing w:after="40"/>
            </w:pPr>
            <w:r>
              <w:rPr>
                <w:sz w:val="16"/>
              </w:rPr>
              <w:t>Owned printing</w:t>
            </w:r>
          </w:p>
        </w:tc>
        <w:tc>
          <w:tcPr>
            <w:tcW w:type="dxa" w:w="2592"/>
            <w:vAlign w:val="top"/>
          </w:tcPr>
          <w:p>
            <w:pPr>
              <w:spacing w:after="40"/>
            </w:pPr>
            <w:r>
              <w:rPr>
                <w:sz w:val="16"/>
              </w:rPr>
              <w:t>RLS: owner CRUD where owner_id = auth.uid()</w:t>
            </w:r>
          </w:p>
        </w:tc>
      </w:tr>
      <w:tr>
        <w:tc>
          <w:tcPr>
            <w:tcW w:type="dxa" w:w="1584"/>
            <w:vAlign w:val="top"/>
          </w:tcPr>
          <w:p>
            <w:pPr>
              <w:spacing w:after="40"/>
            </w:pPr>
            <w:r>
              <w:rPr>
                <w:sz w:val="16"/>
              </w:rPr>
              <w:t>share_links</w:t>
            </w:r>
          </w:p>
        </w:tc>
        <w:tc>
          <w:tcPr>
            <w:tcW w:type="dxa" w:w="3168"/>
            <w:vAlign w:val="top"/>
          </w:tcPr>
          <w:p>
            <w:pPr>
              <w:spacing w:after="40"/>
            </w:pPr>
            <w:r>
              <w:rPr>
                <w:sz w:val="16"/>
              </w:rPr>
              <w:t>id uuid PK; target_kind text check in (deck, want_list); target_id uuid; token_hash bytea unique; created_at; revoked_at nullable</w:t>
            </w:r>
          </w:p>
        </w:tc>
        <w:tc>
          <w:tcPr>
            <w:tcW w:type="dxa" w:w="2016"/>
            <w:vAlign w:val="top"/>
          </w:tcPr>
          <w:p>
            <w:pPr>
              <w:spacing w:after="40"/>
            </w:pPr>
            <w:r>
              <w:rPr>
                <w:sz w:val="16"/>
              </w:rPr>
              <w:t>Share token hash only; target is deck or want list</w:t>
            </w:r>
          </w:p>
        </w:tc>
        <w:tc>
          <w:tcPr>
            <w:tcW w:type="dxa" w:w="2592"/>
            <w:vAlign w:val="top"/>
          </w:tcPr>
          <w:p>
            <w:pPr>
              <w:spacing w:after="40"/>
            </w:pPr>
            <w:r>
              <w:rPr>
                <w:sz w:val="16"/>
              </w:rPr>
              <w:t>RLS: owner INSERT/UPDATE/SELECT own via target ownership; anon has no direct table SELECT — open uses security-definer RPC by token hash; CASCADE when parent deck or want_list is deleted</w:t>
            </w:r>
          </w:p>
        </w:tc>
      </w:tr>
    </w:tbl>
    <w:p>
      <w:pPr>
        <w:spacing w:after="40"/>
      </w:pPr>
    </w:p>
    <w:p>
      <w:pPr>
        <w:pStyle w:val="Heading1"/>
        <w:pageBreakBefore/>
      </w:pPr>
      <w:r>
        <w:t>7. Architecture decisions</w:t>
      </w:r>
    </w:p>
    <w:p>
      <w:r>
        <w:t>Decisions follow approved SRS 1.0. All ADRs (ADR-001 through ADR-013) are Accepted (2026-10-27). Stack choice: ADR-001.</w:t>
      </w:r>
    </w:p>
    <w:tbl>
      <w:tblPr>
        <w:tblStyle w:val="TableGrid"/>
        <w:tblW w:type="auto" w:w="0"/>
        <w:tblLayout w:type="fixed"/>
        <w:tblLook w:firstColumn="1" w:firstRow="1" w:lastColumn="0" w:lastRow="0" w:noHBand="0" w:noVBand="1" w:val="04A0"/>
      </w:tblPr>
      <w:tblGrid>
        <w:gridCol w:w="1296"/>
        <w:gridCol w:w="6480"/>
        <w:gridCol w:w="1584"/>
      </w:tblGrid>
      <w:tr>
        <w:trPr>
          <w:tblHeader w:val="true"/>
        </w:trPr>
        <w:tc>
          <w:tcPr>
            <w:tcW w:type="dxa" w:w="1296"/>
            <w:shd w:val="clear" w:color="auto" w:fill="D9E2F3"/>
          </w:tcPr>
          <w:p>
            <w:r/>
            <w:r>
              <w:rPr>
                <w:b/>
                <w:sz w:val="18"/>
              </w:rPr>
              <w:t>ADR</w:t>
            </w:r>
          </w:p>
        </w:tc>
        <w:tc>
          <w:tcPr>
            <w:tcW w:type="dxa" w:w="6480"/>
            <w:shd w:val="clear" w:color="auto" w:fill="D9E2F3"/>
          </w:tcPr>
          <w:p>
            <w:r/>
            <w:r>
              <w:rPr>
                <w:b/>
                <w:sz w:val="18"/>
              </w:rPr>
              <w:t>Decision</w:t>
            </w:r>
          </w:p>
        </w:tc>
        <w:tc>
          <w:tcPr>
            <w:tcW w:type="dxa" w:w="1584"/>
            <w:shd w:val="clear" w:color="auto" w:fill="D9E2F3"/>
          </w:tcPr>
          <w:p>
            <w:r/>
            <w:r>
              <w:rPr>
                <w:b/>
                <w:sz w:val="18"/>
              </w:rPr>
              <w:t>Status</w:t>
            </w:r>
          </w:p>
        </w:tc>
      </w:tr>
      <w:tr>
        <w:tc>
          <w:tcPr>
            <w:tcW w:type="dxa" w:w="1296"/>
            <w:vAlign w:val="top"/>
          </w:tcPr>
          <w:p>
            <w:pPr>
              <w:spacing w:after="40"/>
            </w:pPr>
            <w:r>
              <w:rPr>
                <w:sz w:val="18"/>
              </w:rPr>
              <w:t>ADR-001</w:t>
            </w:r>
          </w:p>
        </w:tc>
        <w:tc>
          <w:tcPr>
            <w:tcW w:type="dxa" w:w="6480"/>
            <w:vAlign w:val="top"/>
          </w:tcPr>
          <w:p>
            <w:pPr>
              <w:spacing w:after="40"/>
            </w:pPr>
            <w:r>
              <w:rPr>
                <w:sz w:val="18"/>
              </w:rPr>
              <w:t>Vite 7, React 19, TypeScript, Tailwind 4, Vitest, Playwright Chromium-only, Node 22, BrowserRouter with 404.html, base /otcp/</w:t>
            </w:r>
          </w:p>
        </w:tc>
        <w:tc>
          <w:tcPr>
            <w:tcW w:type="dxa" w:w="1584"/>
            <w:vAlign w:val="top"/>
          </w:tcPr>
          <w:p>
            <w:pPr>
              <w:spacing w:after="40"/>
            </w:pPr>
            <w:r>
              <w:rPr>
                <w:sz w:val="18"/>
              </w:rPr>
              <w:t>Accepted 2026-10-27</w:t>
            </w:r>
          </w:p>
        </w:tc>
      </w:tr>
      <w:tr>
        <w:tc>
          <w:tcPr>
            <w:tcW w:type="dxa" w:w="1296"/>
            <w:vAlign w:val="top"/>
          </w:tcPr>
          <w:p>
            <w:pPr>
              <w:spacing w:after="40"/>
            </w:pPr>
            <w:r>
              <w:rPr>
                <w:sz w:val="18"/>
              </w:rPr>
              <w:t>ADR-002</w:t>
            </w:r>
          </w:p>
        </w:tc>
        <w:tc>
          <w:tcPr>
            <w:tcW w:type="dxa" w:w="6480"/>
            <w:vAlign w:val="top"/>
          </w:tcPr>
          <w:p>
            <w:pPr>
              <w:spacing w:after="40"/>
            </w:pPr>
            <w:r>
              <w:rPr>
                <w:sz w:val="18"/>
              </w:rPr>
              <w:t>OTCP-owned versioned schema: shared core plus Yu-Gi-Oh! typed extension</w:t>
            </w:r>
          </w:p>
        </w:tc>
        <w:tc>
          <w:tcPr>
            <w:tcW w:type="dxa" w:w="1584"/>
            <w:vAlign w:val="top"/>
          </w:tcPr>
          <w:p>
            <w:pPr>
              <w:spacing w:after="40"/>
            </w:pPr>
            <w:r>
              <w:rPr>
                <w:sz w:val="18"/>
              </w:rPr>
              <w:t>Accepted 2026-10-27</w:t>
            </w:r>
          </w:p>
        </w:tc>
      </w:tr>
      <w:tr>
        <w:tc>
          <w:tcPr>
            <w:tcW w:type="dxa" w:w="1296"/>
            <w:vAlign w:val="top"/>
          </w:tcPr>
          <w:p>
            <w:pPr>
              <w:spacing w:after="40"/>
            </w:pPr>
            <w:r>
              <w:rPr>
                <w:sz w:val="18"/>
              </w:rPr>
              <w:t>ADR-003</w:t>
            </w:r>
          </w:p>
        </w:tc>
        <w:tc>
          <w:tcPr>
            <w:tcW w:type="dxa" w:w="6480"/>
            <w:vAlign w:val="top"/>
          </w:tcPr>
          <w:p>
            <w:pPr>
              <w:spacing w:after="40"/>
            </w:pPr>
            <w:r>
              <w:rPr>
                <w:sz w:val="18"/>
              </w:rPr>
              <w:t>Build-time YGOPRODeck ingest with validation, weekly plus manual GitHub Actions refresh, re-hosted images</w:t>
            </w:r>
          </w:p>
        </w:tc>
        <w:tc>
          <w:tcPr>
            <w:tcW w:type="dxa" w:w="1584"/>
            <w:vAlign w:val="top"/>
          </w:tcPr>
          <w:p>
            <w:pPr>
              <w:spacing w:after="40"/>
            </w:pPr>
            <w:r>
              <w:rPr>
                <w:sz w:val="18"/>
              </w:rPr>
              <w:t>Accepted 2026-10-27</w:t>
            </w:r>
          </w:p>
        </w:tc>
      </w:tr>
      <w:tr>
        <w:tc>
          <w:tcPr>
            <w:tcW w:type="dxa" w:w="1296"/>
            <w:vAlign w:val="top"/>
          </w:tcPr>
          <w:p>
            <w:pPr>
              <w:spacing w:after="40"/>
            </w:pPr>
            <w:r>
              <w:rPr>
                <w:sz w:val="18"/>
              </w:rPr>
              <w:t>ADR-004</w:t>
            </w:r>
          </w:p>
        </w:tc>
        <w:tc>
          <w:tcPr>
            <w:tcW w:type="dxa" w:w="6480"/>
            <w:vAlign w:val="top"/>
          </w:tcPr>
          <w:p>
            <w:pPr>
              <w:spacing w:after="40"/>
            </w:pPr>
            <w:r>
              <w:rPr>
                <w:sz w:val="18"/>
              </w:rPr>
              <w:t>Hand-curated formats and banlists plus overrides; Format Library is UX reference only</w:t>
            </w:r>
          </w:p>
        </w:tc>
        <w:tc>
          <w:tcPr>
            <w:tcW w:type="dxa" w:w="1584"/>
            <w:vAlign w:val="top"/>
          </w:tcPr>
          <w:p>
            <w:pPr>
              <w:spacing w:after="40"/>
            </w:pPr>
            <w:r>
              <w:rPr>
                <w:sz w:val="18"/>
              </w:rPr>
              <w:t>Accepted 2026-10-27</w:t>
            </w:r>
          </w:p>
        </w:tc>
      </w:tr>
      <w:tr>
        <w:tc>
          <w:tcPr>
            <w:tcW w:type="dxa" w:w="1296"/>
            <w:vAlign w:val="top"/>
          </w:tcPr>
          <w:p>
            <w:pPr>
              <w:spacing w:after="40"/>
            </w:pPr>
            <w:r>
              <w:rPr>
                <w:sz w:val="18"/>
              </w:rPr>
              <w:t>ADR-005</w:t>
            </w:r>
          </w:p>
        </w:tc>
        <w:tc>
          <w:tcPr>
            <w:tcW w:type="dxa" w:w="6480"/>
            <w:vAlign w:val="top"/>
          </w:tcPr>
          <w:p>
            <w:pPr>
              <w:spacing w:after="40"/>
            </w:pPr>
            <w:r>
              <w:rPr>
                <w:sz w:val="18"/>
              </w:rPr>
              <w:t>Genesys points from YGOPRODeck in bulk, Konami spot-check, diffs reported not auto-applied</w:t>
            </w:r>
          </w:p>
        </w:tc>
        <w:tc>
          <w:tcPr>
            <w:tcW w:type="dxa" w:w="1584"/>
            <w:vAlign w:val="top"/>
          </w:tcPr>
          <w:p>
            <w:pPr>
              <w:spacing w:after="40"/>
            </w:pPr>
            <w:r>
              <w:rPr>
                <w:sz w:val="18"/>
              </w:rPr>
              <w:t>Accepted 2026-10-27</w:t>
            </w:r>
          </w:p>
        </w:tc>
      </w:tr>
      <w:tr>
        <w:tc>
          <w:tcPr>
            <w:tcW w:type="dxa" w:w="1296"/>
            <w:vAlign w:val="top"/>
          </w:tcPr>
          <w:p>
            <w:pPr>
              <w:spacing w:after="40"/>
            </w:pPr>
            <w:r>
              <w:rPr>
                <w:sz w:val="18"/>
              </w:rPr>
              <w:t>ADR-006</w:t>
            </w:r>
          </w:p>
        </w:tc>
        <w:tc>
          <w:tcPr>
            <w:tcW w:type="dxa" w:w="6480"/>
            <w:vAlign w:val="top"/>
          </w:tcPr>
          <w:p>
            <w:pPr>
              <w:spacing w:after="40"/>
            </w:pPr>
            <w:r>
              <w:rPr>
                <w:sz w:val="18"/>
              </w:rPr>
              <w:t>Supabase free tier for auth and saved decks; UI on GitHub Pages; guests use browser storage</w:t>
            </w:r>
          </w:p>
        </w:tc>
        <w:tc>
          <w:tcPr>
            <w:tcW w:type="dxa" w:w="1584"/>
            <w:vAlign w:val="top"/>
          </w:tcPr>
          <w:p>
            <w:pPr>
              <w:spacing w:after="40"/>
            </w:pPr>
            <w:r>
              <w:rPr>
                <w:sz w:val="18"/>
              </w:rPr>
              <w:t>Accepted 2026-10-27</w:t>
            </w:r>
          </w:p>
        </w:tc>
      </w:tr>
      <w:tr>
        <w:tc>
          <w:tcPr>
            <w:tcW w:type="dxa" w:w="1296"/>
            <w:vAlign w:val="top"/>
          </w:tcPr>
          <w:p>
            <w:pPr>
              <w:spacing w:after="40"/>
            </w:pPr>
            <w:r>
              <w:rPr>
                <w:sz w:val="18"/>
              </w:rPr>
              <w:t>ADR-007</w:t>
            </w:r>
          </w:p>
        </w:tc>
        <w:tc>
          <w:tcPr>
            <w:tcW w:type="dxa" w:w="6480"/>
            <w:vAlign w:val="top"/>
          </w:tcPr>
          <w:p>
            <w:pPr>
              <w:spacing w:after="40"/>
            </w:pPr>
            <w:r>
              <w:rPr>
                <w:sz w:val="18"/>
              </w:rPr>
              <w:t>Opaque, revocable, read-only share links with no calendar expiry</w:t>
            </w:r>
          </w:p>
        </w:tc>
        <w:tc>
          <w:tcPr>
            <w:tcW w:type="dxa" w:w="1584"/>
            <w:vAlign w:val="top"/>
          </w:tcPr>
          <w:p>
            <w:pPr>
              <w:spacing w:after="40"/>
            </w:pPr>
            <w:r>
              <w:rPr>
                <w:sz w:val="18"/>
              </w:rPr>
              <w:t>Accepted 2026-10-27</w:t>
            </w:r>
          </w:p>
        </w:tc>
      </w:tr>
      <w:tr>
        <w:tc>
          <w:tcPr>
            <w:tcW w:type="dxa" w:w="1296"/>
            <w:vAlign w:val="top"/>
          </w:tcPr>
          <w:p>
            <w:pPr>
              <w:spacing w:after="40"/>
            </w:pPr>
            <w:r>
              <w:rPr>
                <w:sz w:val="18"/>
              </w:rPr>
              <w:t>ADR-008</w:t>
            </w:r>
          </w:p>
        </w:tc>
        <w:tc>
          <w:tcPr>
            <w:tcW w:type="dxa" w:w="6480"/>
            <w:vAlign w:val="top"/>
          </w:tcPr>
          <w:p>
            <w:pPr>
              <w:spacing w:after="40"/>
            </w:pPr>
            <w:r>
              <w:rPr>
                <w:sz w:val="18"/>
              </w:rPr>
              <w:t>Prices from YGOPRODeck snapshots plus store deep links; no TCGplayer API</w:t>
            </w:r>
          </w:p>
        </w:tc>
        <w:tc>
          <w:tcPr>
            <w:tcW w:type="dxa" w:w="1584"/>
            <w:vAlign w:val="top"/>
          </w:tcPr>
          <w:p>
            <w:pPr>
              <w:spacing w:after="40"/>
            </w:pPr>
            <w:r>
              <w:rPr>
                <w:sz w:val="18"/>
              </w:rPr>
              <w:t>Accepted 2026-10-27</w:t>
            </w:r>
          </w:p>
        </w:tc>
      </w:tr>
      <w:tr>
        <w:tc>
          <w:tcPr>
            <w:tcW w:type="dxa" w:w="1296"/>
            <w:vAlign w:val="top"/>
          </w:tcPr>
          <w:p>
            <w:pPr>
              <w:spacing w:after="40"/>
            </w:pPr>
            <w:r>
              <w:rPr>
                <w:sz w:val="18"/>
              </w:rPr>
              <w:t>ADR-009</w:t>
            </w:r>
          </w:p>
        </w:tc>
        <w:tc>
          <w:tcPr>
            <w:tcW w:type="dxa" w:w="6480"/>
            <w:vAlign w:val="top"/>
          </w:tcPr>
          <w:p>
            <w:pPr>
              <w:spacing w:after="40"/>
            </w:pPr>
            <w:r>
              <w:rPr>
                <w:sz w:val="18"/>
              </w:rPr>
              <w:t>Client-side search index to hit under 100 ms on a mid-range phone</w:t>
            </w:r>
          </w:p>
        </w:tc>
        <w:tc>
          <w:tcPr>
            <w:tcW w:type="dxa" w:w="1584"/>
            <w:vAlign w:val="top"/>
          </w:tcPr>
          <w:p>
            <w:pPr>
              <w:spacing w:after="40"/>
            </w:pPr>
            <w:r>
              <w:rPr>
                <w:sz w:val="18"/>
              </w:rPr>
              <w:t>Accepted 2026-10-27</w:t>
            </w:r>
          </w:p>
        </w:tc>
      </w:tr>
      <w:tr>
        <w:tc>
          <w:tcPr>
            <w:tcW w:type="dxa" w:w="1296"/>
            <w:vAlign w:val="top"/>
          </w:tcPr>
          <w:p>
            <w:pPr>
              <w:spacing w:after="40"/>
            </w:pPr>
            <w:r>
              <w:rPr>
                <w:sz w:val="18"/>
              </w:rPr>
              <w:t>ADR-010</w:t>
            </w:r>
          </w:p>
        </w:tc>
        <w:tc>
          <w:tcPr>
            <w:tcW w:type="dxa" w:w="6480"/>
            <w:vAlign w:val="top"/>
          </w:tcPr>
          <w:p>
            <w:pPr>
              <w:spacing w:after="40"/>
            </w:pPr>
            <w:r>
              <w:rPr>
                <w:sz w:val="18"/>
              </w:rPr>
              <w:t>Export YDK (Skill under #main), YDKE, TCGplayer Mass Entry, and plain text</w:t>
            </w:r>
          </w:p>
        </w:tc>
        <w:tc>
          <w:tcPr>
            <w:tcW w:type="dxa" w:w="1584"/>
            <w:vAlign w:val="top"/>
          </w:tcPr>
          <w:p>
            <w:pPr>
              <w:spacing w:after="40"/>
            </w:pPr>
            <w:r>
              <w:rPr>
                <w:sz w:val="18"/>
              </w:rPr>
              <w:t>Accepted 2026-10-27</w:t>
            </w:r>
          </w:p>
        </w:tc>
      </w:tr>
      <w:tr>
        <w:tc>
          <w:tcPr>
            <w:tcW w:type="dxa" w:w="1296"/>
            <w:vAlign w:val="top"/>
          </w:tcPr>
          <w:p>
            <w:pPr>
              <w:spacing w:after="40"/>
            </w:pPr>
            <w:r>
              <w:rPr>
                <w:sz w:val="18"/>
              </w:rPr>
              <w:t>ADR-011</w:t>
            </w:r>
          </w:p>
        </w:tc>
        <w:tc>
          <w:tcPr>
            <w:tcW w:type="dxa" w:w="6480"/>
            <w:vAlign w:val="top"/>
          </w:tcPr>
          <w:p>
            <w:pPr>
              <w:spacing w:after="40"/>
            </w:pPr>
            <w:r>
              <w:rPr>
                <w:sz w:val="18"/>
              </w:rPr>
              <w:t>Immediate hard delete of account data; provider backups age out within 30 days</w:t>
            </w:r>
          </w:p>
        </w:tc>
        <w:tc>
          <w:tcPr>
            <w:tcW w:type="dxa" w:w="1584"/>
            <w:vAlign w:val="top"/>
          </w:tcPr>
          <w:p>
            <w:pPr>
              <w:spacing w:after="40"/>
            </w:pPr>
            <w:r>
              <w:rPr>
                <w:sz w:val="18"/>
              </w:rPr>
              <w:t>Accepted 2026-10-27</w:t>
            </w:r>
          </w:p>
        </w:tc>
      </w:tr>
      <w:tr>
        <w:tc>
          <w:tcPr>
            <w:tcW w:type="dxa" w:w="1296"/>
            <w:vAlign w:val="top"/>
          </w:tcPr>
          <w:p>
            <w:pPr>
              <w:spacing w:after="40"/>
            </w:pPr>
            <w:r>
              <w:rPr>
                <w:sz w:val="18"/>
              </w:rPr>
              <w:t>ADR-012</w:t>
            </w:r>
          </w:p>
        </w:tc>
        <w:tc>
          <w:tcPr>
            <w:tcW w:type="dxa" w:w="6480"/>
            <w:vAlign w:val="top"/>
          </w:tcPr>
          <w:p>
            <w:pPr>
              <w:spacing w:after="40"/>
            </w:pPr>
            <w:r>
              <w:rPr>
                <w:sz w:val="18"/>
              </w:rPr>
              <w:t>Declarative faceted filters with client-side option counts</w:t>
            </w:r>
          </w:p>
        </w:tc>
        <w:tc>
          <w:tcPr>
            <w:tcW w:type="dxa" w:w="1584"/>
            <w:vAlign w:val="top"/>
          </w:tcPr>
          <w:p>
            <w:pPr>
              <w:spacing w:after="40"/>
            </w:pPr>
            <w:r>
              <w:rPr>
                <w:sz w:val="18"/>
              </w:rPr>
              <w:t>Accepted 2026-10-27</w:t>
            </w:r>
          </w:p>
        </w:tc>
      </w:tr>
      <w:tr>
        <w:tc>
          <w:tcPr>
            <w:tcW w:type="dxa" w:w="1296"/>
            <w:vAlign w:val="top"/>
          </w:tcPr>
          <w:p>
            <w:pPr>
              <w:spacing w:after="40"/>
            </w:pPr>
            <w:r>
              <w:rPr>
                <w:sz w:val="18"/>
              </w:rPr>
              <w:t>ADR-013</w:t>
            </w:r>
          </w:p>
        </w:tc>
        <w:tc>
          <w:tcPr>
            <w:tcW w:type="dxa" w:w="6480"/>
            <w:vAlign w:val="top"/>
          </w:tcPr>
          <w:p>
            <w:pPr>
              <w:spacing w:after="40"/>
            </w:pPr>
            <w:r>
              <w:rPr>
                <w:sz w:val="18"/>
              </w:rPr>
              <w:t>Want lists and basic collection beside decks, with shared opaque links</w:t>
            </w:r>
          </w:p>
        </w:tc>
        <w:tc>
          <w:tcPr>
            <w:tcW w:type="dxa" w:w="1584"/>
            <w:vAlign w:val="top"/>
          </w:tcPr>
          <w:p>
            <w:pPr>
              <w:spacing w:after="40"/>
            </w:pPr>
            <w:r>
              <w:rPr>
                <w:sz w:val="18"/>
              </w:rPr>
              <w:t>Accepted 2026-10-27</w:t>
            </w:r>
          </w:p>
        </w:tc>
      </w:tr>
    </w:tbl>
    <w:p>
      <w:pPr>
        <w:spacing w:after="40"/>
      </w:pPr>
    </w:p>
    <w:p>
      <w:pPr>
        <w:pStyle w:val="Heading2"/>
      </w:pPr>
      <w:r>
        <w:t>ADR-001 Vite 7, React 19, TypeScript, Tailwind 4, Vitest, Playwright Chromium-only, Node 22, BrowserRouter with 404.html, base /otcp/</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PR #1 needs a fixed stack for Pages hosting under /otcp/ (OD-04, OD-09). A lighter UI library was considered for bundle size.</w:t>
            </w:r>
          </w:p>
        </w:tc>
      </w:tr>
      <w:tr>
        <w:tc>
          <w:tcPr>
            <w:tcW w:type="dxa" w:w="1872"/>
            <w:vAlign w:val="top"/>
          </w:tcPr>
          <w:p>
            <w:pPr>
              <w:spacing w:after="40"/>
            </w:pPr>
            <w:r>
              <w:rPr>
                <w:sz w:val="20"/>
              </w:rPr>
              <w:t>Decision</w:t>
            </w:r>
          </w:p>
        </w:tc>
        <w:tc>
          <w:tcPr>
            <w:tcW w:type="dxa" w:w="7488"/>
            <w:vAlign w:val="top"/>
          </w:tcPr>
          <w:p>
            <w:pPr>
              <w:spacing w:after="40"/>
            </w:pPr>
            <w:r>
              <w:rPr>
                <w:sz w:val="20"/>
              </w:rPr>
              <w:t>Ship with Vite 7 + React 19 + TypeScript + Tailwind CSS 4. Unit tests in Vitest; e2e in Playwright limited to Chromium. Pin Node.js 22 in engines and CI. Use React Router BrowserRouter with a 404.html copy-of-index fallback for GitHub Pages. Set Vite base to /otcp/. Keep React 19 even if search latency fails S-01; optimize search instead of switching view libraries (owner decision 2026-10-27).</w:t>
            </w:r>
          </w:p>
        </w:tc>
      </w:tr>
      <w:tr>
        <w:tc>
          <w:tcPr>
            <w:tcW w:type="dxa" w:w="1872"/>
            <w:vAlign w:val="top"/>
          </w:tcPr>
          <w:p>
            <w:pPr>
              <w:spacing w:after="40"/>
            </w:pPr>
            <w:r>
              <w:rPr>
                <w:sz w:val="20"/>
              </w:rPr>
              <w:t>Alternatives</w:t>
            </w:r>
          </w:p>
        </w:tc>
        <w:tc>
          <w:tcPr>
            <w:tcW w:type="dxa" w:w="7488"/>
            <w:vAlign w:val="top"/>
          </w:tcPr>
          <w:p>
            <w:pPr>
              <w:spacing w:after="40"/>
            </w:pPr>
            <w:r>
              <w:rPr>
                <w:sz w:val="20"/>
              </w:rPr>
              <w:t>Preact or solid-js for a smaller runtime; HashRouter to avoid the 404 hack; multi-browser Playwright from day one; swap React if S-01 fails.</w:t>
            </w:r>
          </w:p>
        </w:tc>
      </w:tr>
      <w:tr>
        <w:tc>
          <w:tcPr>
            <w:tcW w:type="dxa" w:w="1872"/>
            <w:vAlign w:val="top"/>
          </w:tcPr>
          <w:p>
            <w:pPr>
              <w:spacing w:after="40"/>
            </w:pPr>
            <w:r>
              <w:rPr>
                <w:sz w:val="20"/>
              </w:rPr>
              <w:t>Consequences</w:t>
            </w:r>
          </w:p>
        </w:tc>
        <w:tc>
          <w:tcPr>
            <w:tcW w:type="dxa" w:w="7488"/>
            <w:vAlign w:val="top"/>
          </w:tcPr>
          <w:p>
            <w:pPr>
              <w:spacing w:after="40"/>
            </w:pPr>
            <w:r>
              <w:rPr>
                <w:sz w:val="20"/>
              </w:rPr>
              <w:t>Matches common React tooling and the Pages base-path constraint. React stays fixed. Costs: React 19 and Tailwind 4 APIs are UNVERIFIED until spikes; Chromium-only e2e may miss Safari quirks (NFR-16). Search misses go to ADR-009, not a view-library change.</w:t>
            </w:r>
          </w:p>
        </w:tc>
      </w:tr>
      <w:tr>
        <w:tc>
          <w:tcPr>
            <w:tcW w:type="dxa" w:w="1872"/>
            <w:vAlign w:val="top"/>
          </w:tcPr>
          <w:p>
            <w:pPr>
              <w:spacing w:after="40"/>
            </w:pPr>
            <w:r>
              <w:rPr>
                <w:sz w:val="20"/>
              </w:rPr>
              <w:t>Revisit when</w:t>
            </w:r>
          </w:p>
        </w:tc>
        <w:tc>
          <w:tcPr>
            <w:tcW w:type="dxa" w:w="7488"/>
            <w:vAlign w:val="top"/>
          </w:tcPr>
          <w:p>
            <w:pPr>
              <w:spacing w:after="40"/>
            </w:pPr>
            <w:r>
              <w:rPr>
                <w:sz w:val="20"/>
              </w:rPr>
              <w:t>Pages routing rules change, or a non-search reason forces a different shell.</w:t>
            </w:r>
          </w:p>
        </w:tc>
      </w:tr>
    </w:tbl>
    <w:p>
      <w:pPr>
        <w:spacing w:after="40"/>
      </w:pPr>
    </w:p>
    <w:p>
      <w:pPr>
        <w:pStyle w:val="Heading2"/>
      </w:pPr>
      <w:r>
        <w:t>ADR-002 OTCP-owned versioned schema: shared core plus Yu-Gi-Oh! typed extension</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Card JSON must be validated in CI and in the client (FR-46, FR-51, FR-50).</w:t>
            </w:r>
          </w:p>
        </w:tc>
      </w:tr>
      <w:tr>
        <w:tc>
          <w:tcPr>
            <w:tcW w:type="dxa" w:w="1872"/>
            <w:vAlign w:val="top"/>
          </w:tcPr>
          <w:p>
            <w:pPr>
              <w:spacing w:after="40"/>
            </w:pPr>
            <w:r>
              <w:rPr>
                <w:sz w:val="20"/>
              </w:rPr>
              <w:t>Decision</w:t>
            </w:r>
          </w:p>
        </w:tc>
        <w:tc>
          <w:tcPr>
            <w:tcW w:type="dxa" w:w="7488"/>
            <w:vAlign w:val="top"/>
          </w:tcPr>
          <w:p>
            <w:pPr>
              <w:spacing w:after="40"/>
            </w:pPr>
            <w:r>
              <w:rPr>
                <w:sz w:val="20"/>
              </w:rPr>
              <w:t>Publish a versioned schema with a game-agnostic core (identity, versioning, assets) and a yugioh extension module for card fields, ban refs, Genesys points, and Skill cards. Pipeline and client validate against the same schema package.</w:t>
            </w:r>
          </w:p>
        </w:tc>
      </w:tr>
      <w:tr>
        <w:tc>
          <w:tcPr>
            <w:tcW w:type="dxa" w:w="1872"/>
            <w:vAlign w:val="top"/>
          </w:tcPr>
          <w:p>
            <w:pPr>
              <w:spacing w:after="40"/>
            </w:pPr>
            <w:r>
              <w:rPr>
                <w:sz w:val="20"/>
              </w:rPr>
              <w:t>Alternatives</w:t>
            </w:r>
          </w:p>
        </w:tc>
        <w:tc>
          <w:tcPr>
            <w:tcW w:type="dxa" w:w="7488"/>
            <w:vAlign w:val="top"/>
          </w:tcPr>
          <w:p>
            <w:pPr>
              <w:spacing w:after="40"/>
            </w:pPr>
            <w:r>
              <w:rPr>
                <w:sz w:val="20"/>
              </w:rPr>
              <w:t>Store raw YGOPRODeck payloads; or a single flat schema hard-coded to Yu-Gi-Oh!.</w:t>
            </w:r>
          </w:p>
        </w:tc>
      </w:tr>
      <w:tr>
        <w:tc>
          <w:tcPr>
            <w:tcW w:type="dxa" w:w="1872"/>
            <w:vAlign w:val="top"/>
          </w:tcPr>
          <w:p>
            <w:pPr>
              <w:spacing w:after="40"/>
            </w:pPr>
            <w:r>
              <w:rPr>
                <w:sz w:val="20"/>
              </w:rPr>
              <w:t>Consequences</w:t>
            </w:r>
          </w:p>
        </w:tc>
        <w:tc>
          <w:tcPr>
            <w:tcW w:type="dxa" w:w="7488"/>
            <w:vAlign w:val="top"/>
          </w:tcPr>
          <w:p>
            <w:pPr>
              <w:spacing w:after="40"/>
            </w:pPr>
            <w:r>
              <w:rPr>
                <w:sz w:val="20"/>
              </w:rPr>
              <w:t>Upstream shape changes are absorbed in the mapper; a future game could add an extension without rewriting core. Cost: mapping code and version bumps when fields change.</w:t>
            </w:r>
          </w:p>
        </w:tc>
      </w:tr>
      <w:tr>
        <w:tc>
          <w:tcPr>
            <w:tcW w:type="dxa" w:w="1872"/>
            <w:vAlign w:val="top"/>
          </w:tcPr>
          <w:p>
            <w:pPr>
              <w:spacing w:after="40"/>
            </w:pPr>
            <w:r>
              <w:rPr>
                <w:sz w:val="20"/>
              </w:rPr>
              <w:t>Revisit when</w:t>
            </w:r>
          </w:p>
        </w:tc>
        <w:tc>
          <w:tcPr>
            <w:tcW w:type="dxa" w:w="7488"/>
            <w:vAlign w:val="top"/>
          </w:tcPr>
          <w:p>
            <w:pPr>
              <w:spacing w:after="40"/>
            </w:pPr>
            <w:r>
              <w:rPr>
                <w:sz w:val="20"/>
              </w:rPr>
              <w:t>A second game is scheduled, or upstream fields cannot be expressed cleanly.</w:t>
            </w:r>
          </w:p>
        </w:tc>
      </w:tr>
    </w:tbl>
    <w:p>
      <w:pPr>
        <w:spacing w:after="40"/>
      </w:pPr>
    </w:p>
    <w:p>
      <w:pPr>
        <w:pStyle w:val="Heading2"/>
      </w:pPr>
      <w:r>
        <w:t>ADR-003 Build-time YGOPRODeck ingest with validation, weekly plus manual GitHub Actions refresh, re-hosted images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Runtime must not hotlink images or depend on live upstream (FR-47, FR-52, FR-53, FR-54, NFR-05, NFR-08).</w:t>
            </w:r>
          </w:p>
        </w:tc>
      </w:tr>
      <w:tr>
        <w:tc>
          <w:tcPr>
            <w:tcW w:type="dxa" w:w="1872"/>
            <w:vAlign w:val="top"/>
          </w:tcPr>
          <w:p>
            <w:pPr>
              <w:spacing w:after="40"/>
            </w:pPr>
            <w:r>
              <w:rPr>
                <w:sz w:val="20"/>
              </w:rPr>
              <w:t>Decision</w:t>
            </w:r>
          </w:p>
        </w:tc>
        <w:tc>
          <w:tcPr>
            <w:tcW w:type="dxa" w:w="7488"/>
            <w:vAlign w:val="top"/>
          </w:tcPr>
          <w:p>
            <w:pPr>
              <w:spacing w:after="40"/>
            </w:pPr>
            <w:r>
              <w:rPr>
                <w:sz w:val="20"/>
              </w:rPr>
              <w:t>A Node pipeline in GitHub Actions fetches YGOPRODeck from pinned hosts (documented User-Agent) with misc=yes so misc_info (views, formats, tcg_date, ocg_date, konami_id, has_effect, md_rarity, staple, treated_as, beta_id/beta_name, votes, …), card_prices[], card_sets[] (including set_price), and type-specific fields (linkval/linkmarkers, scale, pend_desc/monster_desc) are cached in the published schema — required for addable table columns; validates, applies overrides, downloads art with Content-Type and size checks into a new artifact directory, and on success atomically swaps the published pointer. Schedule weekly; allow workflow_dispatch. Failed validation leaves the previous pointer live.</w:t>
            </w:r>
          </w:p>
        </w:tc>
      </w:tr>
      <w:tr>
        <w:tc>
          <w:tcPr>
            <w:tcW w:type="dxa" w:w="1872"/>
            <w:vAlign w:val="top"/>
          </w:tcPr>
          <w:p>
            <w:pPr>
              <w:spacing w:after="40"/>
            </w:pPr>
            <w:r>
              <w:rPr>
                <w:sz w:val="20"/>
              </w:rPr>
              <w:t>Alternatives</w:t>
            </w:r>
          </w:p>
        </w:tc>
        <w:tc>
          <w:tcPr>
            <w:tcW w:type="dxa" w:w="7488"/>
            <w:vAlign w:val="top"/>
          </w:tcPr>
          <w:p>
            <w:pPr>
              <w:spacing w:after="40"/>
            </w:pPr>
            <w:r>
              <w:rPr>
                <w:sz w:val="20"/>
              </w:rPr>
              <w:t>Client-side fetch from YGOPRODeck; or a always-on server that proxies upstream.</w:t>
            </w:r>
          </w:p>
        </w:tc>
      </w:tr>
      <w:tr>
        <w:tc>
          <w:tcPr>
            <w:tcW w:type="dxa" w:w="1872"/>
            <w:vAlign w:val="top"/>
          </w:tcPr>
          <w:p>
            <w:pPr>
              <w:spacing w:after="40"/>
            </w:pPr>
            <w:r>
              <w:rPr>
                <w:sz w:val="20"/>
              </w:rPr>
              <w:t>Consequences</w:t>
            </w:r>
          </w:p>
        </w:tc>
        <w:tc>
          <w:tcPr>
            <w:tcW w:type="dxa" w:w="7488"/>
            <w:vAlign w:val="top"/>
          </w:tcPr>
          <w:p>
            <w:pPr>
              <w:spacing w:after="40"/>
            </w:pPr>
            <w:r>
              <w:rPr>
                <w:sz w:val="20"/>
              </w:rPr>
              <w:t>Pages stays static and cheap; integrity is enforceable in CI. Costs: refresh lag up to a week unless manually run; Actions minutes and image storage on Pages.</w:t>
            </w:r>
          </w:p>
        </w:tc>
      </w:tr>
      <w:tr>
        <w:tc>
          <w:tcPr>
            <w:tcW w:type="dxa" w:w="1872"/>
            <w:vAlign w:val="top"/>
          </w:tcPr>
          <w:p>
            <w:pPr>
              <w:spacing w:after="40"/>
            </w:pPr>
            <w:r>
              <w:rPr>
                <w:sz w:val="20"/>
              </w:rPr>
              <w:t>Revisit when</w:t>
            </w:r>
          </w:p>
        </w:tc>
        <w:tc>
          <w:tcPr>
            <w:tcW w:type="dxa" w:w="7488"/>
            <w:vAlign w:val="top"/>
          </w:tcPr>
          <w:p>
            <w:pPr>
              <w:spacing w:after="40"/>
            </w:pPr>
            <w:r>
              <w:rPr>
                <w:sz w:val="20"/>
              </w:rPr>
              <w:t>YGOPRODeck terms or rate limits change, or Pages size limits are hit.</w:t>
            </w:r>
          </w:p>
        </w:tc>
      </w:tr>
    </w:tbl>
    <w:p>
      <w:pPr>
        <w:spacing w:after="40"/>
      </w:pPr>
    </w:p>
    <w:p>
      <w:pPr>
        <w:pStyle w:val="Heading2"/>
      </w:pPr>
      <w:r>
        <w:t>ADR-004 Hand-curated formats and banlists plus overrides; Format Library is UX reference only</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Historical formats need stable snapshots (OD-01, OD-05, FR-12, FR-48).</w:t>
            </w:r>
          </w:p>
        </w:tc>
      </w:tr>
      <w:tr>
        <w:tc>
          <w:tcPr>
            <w:tcW w:type="dxa" w:w="1872"/>
            <w:vAlign w:val="top"/>
          </w:tcPr>
          <w:p>
            <w:pPr>
              <w:spacing w:after="40"/>
            </w:pPr>
            <w:r>
              <w:rPr>
                <w:sz w:val="20"/>
              </w:rPr>
              <w:t>Decision</w:t>
            </w:r>
          </w:p>
        </w:tc>
        <w:tc>
          <w:tcPr>
            <w:tcW w:type="dxa" w:w="7488"/>
            <w:vAlign w:val="top"/>
          </w:tcPr>
          <w:p>
            <w:pPr>
              <w:spacing w:after="40"/>
            </w:pPr>
            <w:r>
              <w:rPr>
                <w:sz w:val="20"/>
              </w:rPr>
              <w:t>Keep format descriptors and banlist JSON in-repo, edited by the owner, validated against curated-file schemas (unknown fields refused). overrides.json patches card or ban fields after review. Use Format Library only as a UX and interaction reference, never as a scraped data source.</w:t>
            </w:r>
          </w:p>
        </w:tc>
      </w:tr>
      <w:tr>
        <w:tc>
          <w:tcPr>
            <w:tcW w:type="dxa" w:w="1872"/>
            <w:vAlign w:val="top"/>
          </w:tcPr>
          <w:p>
            <w:pPr>
              <w:spacing w:after="40"/>
            </w:pPr>
            <w:r>
              <w:rPr>
                <w:sz w:val="20"/>
              </w:rPr>
              <w:t>Alternatives</w:t>
            </w:r>
          </w:p>
        </w:tc>
        <w:tc>
          <w:tcPr>
            <w:tcW w:type="dxa" w:w="7488"/>
            <w:vAlign w:val="top"/>
          </w:tcPr>
          <w:p>
            <w:pPr>
              <w:spacing w:after="40"/>
            </w:pPr>
            <w:r>
              <w:rPr>
                <w:sz w:val="20"/>
              </w:rPr>
              <w:t>Scrape Format Library; license a third-party banlist API; derive everything from YGOPRODeck alone.</w:t>
            </w:r>
          </w:p>
        </w:tc>
      </w:tr>
      <w:tr>
        <w:tc>
          <w:tcPr>
            <w:tcW w:type="dxa" w:w="1872"/>
            <w:vAlign w:val="top"/>
          </w:tcPr>
          <w:p>
            <w:pPr>
              <w:spacing w:after="40"/>
            </w:pPr>
            <w:r>
              <w:rPr>
                <w:sz w:val="20"/>
              </w:rPr>
              <w:t>Consequences</w:t>
            </w:r>
          </w:p>
        </w:tc>
        <w:tc>
          <w:tcPr>
            <w:tcW w:type="dxa" w:w="7488"/>
            <w:vAlign w:val="top"/>
          </w:tcPr>
          <w:p>
            <w:pPr>
              <w:spacing w:after="40"/>
            </w:pPr>
            <w:r>
              <w:rPr>
                <w:sz w:val="20"/>
              </w:rPr>
              <w:t>Legal and reproducibility stay under owner control. Cost: manual updates for Goat / HAT / Tengu and new banlists (spike S-03).</w:t>
            </w:r>
          </w:p>
        </w:tc>
      </w:tr>
      <w:tr>
        <w:tc>
          <w:tcPr>
            <w:tcW w:type="dxa" w:w="1872"/>
            <w:vAlign w:val="top"/>
          </w:tcPr>
          <w:p>
            <w:pPr>
              <w:spacing w:after="40"/>
            </w:pPr>
            <w:r>
              <w:rPr>
                <w:sz w:val="20"/>
              </w:rPr>
              <w:t>Revisit when</w:t>
            </w:r>
          </w:p>
        </w:tc>
        <w:tc>
          <w:tcPr>
            <w:tcW w:type="dxa" w:w="7488"/>
            <w:vAlign w:val="top"/>
          </w:tcPr>
          <w:p>
            <w:pPr>
              <w:spacing w:after="40"/>
            </w:pPr>
            <w:r>
              <w:rPr>
                <w:sz w:val="20"/>
              </w:rPr>
              <w:t>A trustworthy licensed dataset becomes available.</w:t>
            </w:r>
          </w:p>
        </w:tc>
      </w:tr>
    </w:tbl>
    <w:p>
      <w:pPr>
        <w:spacing w:after="40"/>
      </w:pPr>
    </w:p>
    <w:p>
      <w:pPr>
        <w:pStyle w:val="Heading2"/>
      </w:pPr>
      <w:r>
        <w:t>ADR-005 Genesys points from YGOPRODeck in bulk, Konami spot-check, diffs reported not auto-applied</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Genesys needs point values and a default cap of 100 (OD-11, OD-12, FR-49, FR-19).</w:t>
            </w:r>
          </w:p>
        </w:tc>
      </w:tr>
      <w:tr>
        <w:tc>
          <w:tcPr>
            <w:tcW w:type="dxa" w:w="1872"/>
            <w:vAlign w:val="top"/>
          </w:tcPr>
          <w:p>
            <w:pPr>
              <w:spacing w:after="40"/>
            </w:pPr>
            <w:r>
              <w:rPr>
                <w:sz w:val="20"/>
              </w:rPr>
              <w:t>Decision</w:t>
            </w:r>
          </w:p>
        </w:tc>
        <w:tc>
          <w:tcPr>
            <w:tcW w:type="dxa" w:w="7488"/>
            <w:vAlign w:val="top"/>
          </w:tcPr>
          <w:p>
            <w:pPr>
              <w:spacing w:after="40"/>
            </w:pPr>
            <w:r>
              <w:rPr>
                <w:sz w:val="20"/>
              </w:rPr>
              <w:t>Ingest genesys_points from YGOPRODeck during refresh. Each run spot-checks a sample against Konami's public list and writes a diff report for the owner. Diffs never auto-merge. DeckBuilder defaults the cap to 100 and lets the user change it.</w:t>
            </w:r>
          </w:p>
        </w:tc>
      </w:tr>
      <w:tr>
        <w:tc>
          <w:tcPr>
            <w:tcW w:type="dxa" w:w="1872"/>
            <w:vAlign w:val="top"/>
          </w:tcPr>
          <w:p>
            <w:pPr>
              <w:spacing w:after="40"/>
            </w:pPr>
            <w:r>
              <w:rPr>
                <w:sz w:val="20"/>
              </w:rPr>
              <w:t>Alternatives</w:t>
            </w:r>
          </w:p>
        </w:tc>
        <w:tc>
          <w:tcPr>
            <w:tcW w:type="dxa" w:w="7488"/>
            <w:vAlign w:val="top"/>
          </w:tcPr>
          <w:p>
            <w:pPr>
              <w:spacing w:after="40"/>
            </w:pPr>
            <w:r>
              <w:rPr>
                <w:sz w:val="20"/>
              </w:rPr>
              <w:t>Manual entry of every point value; or auto-apply Konami diffs.</w:t>
            </w:r>
          </w:p>
        </w:tc>
      </w:tr>
      <w:tr>
        <w:tc>
          <w:tcPr>
            <w:tcW w:type="dxa" w:w="1872"/>
            <w:vAlign w:val="top"/>
          </w:tcPr>
          <w:p>
            <w:pPr>
              <w:spacing w:after="40"/>
            </w:pPr>
            <w:r>
              <w:rPr>
                <w:sz w:val="20"/>
              </w:rPr>
              <w:t>Consequences</w:t>
            </w:r>
          </w:p>
        </w:tc>
        <w:tc>
          <w:tcPr>
            <w:tcW w:type="dxa" w:w="7488"/>
            <w:vAlign w:val="top"/>
          </w:tcPr>
          <w:p>
            <w:pPr>
              <w:spacing w:after="40"/>
            </w:pPr>
            <w:r>
              <w:rPr>
                <w:sz w:val="20"/>
              </w:rPr>
              <w:t>Fast bulk updates with human review for mismatches. Cost: owner time when diffs appear; temporary wrong points if review lags.</w:t>
            </w:r>
          </w:p>
        </w:tc>
      </w:tr>
      <w:tr>
        <w:tc>
          <w:tcPr>
            <w:tcW w:type="dxa" w:w="1872"/>
            <w:vAlign w:val="top"/>
          </w:tcPr>
          <w:p>
            <w:pPr>
              <w:spacing w:after="40"/>
            </w:pPr>
            <w:r>
              <w:rPr>
                <w:sz w:val="20"/>
              </w:rPr>
              <w:t>Revisit when</w:t>
            </w:r>
          </w:p>
        </w:tc>
        <w:tc>
          <w:tcPr>
            <w:tcW w:type="dxa" w:w="7488"/>
            <w:vAlign w:val="top"/>
          </w:tcPr>
          <w:p>
            <w:pPr>
              <w:spacing w:after="40"/>
            </w:pPr>
            <w:r>
              <w:rPr>
                <w:sz w:val="20"/>
              </w:rPr>
              <w:t>Konami publishes a machine-readable feed, or YGOPRODeck points prove unreliable.</w:t>
            </w:r>
          </w:p>
        </w:tc>
      </w:tr>
    </w:tbl>
    <w:p>
      <w:pPr>
        <w:spacing w:after="40"/>
      </w:pPr>
    </w:p>
    <w:p>
      <w:pPr>
        <w:pStyle w:val="Heading2"/>
      </w:pPr>
      <w:r>
        <w:t>ADR-006 Supabase free tier for auth and saved decks; UI on GitHub Pages; guests use browser storage</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Accounts need email/password and Google; guests must build without signup (OD-02, OD-06, FR-27, NFR-04).</w:t>
            </w:r>
          </w:p>
        </w:tc>
      </w:tr>
      <w:tr>
        <w:tc>
          <w:tcPr>
            <w:tcW w:type="dxa" w:w="1872"/>
            <w:vAlign w:val="top"/>
          </w:tcPr>
          <w:p>
            <w:pPr>
              <w:spacing w:after="40"/>
            </w:pPr>
            <w:r>
              <w:rPr>
                <w:sz w:val="20"/>
              </w:rPr>
              <w:t>Decision</w:t>
            </w:r>
          </w:p>
        </w:tc>
        <w:tc>
          <w:tcPr>
            <w:tcW w:type="dxa" w:w="7488"/>
            <w:vAlign w:val="top"/>
          </w:tcPr>
          <w:p>
            <w:pPr>
              <w:spacing w:after="40"/>
            </w:pPr>
            <w:r>
              <w:rPr>
                <w:sz w:val="20"/>
              </w:rPr>
              <w:t>Host the UI on GitHub Pages. Use Supabase Auth (email/password + Google) and Postgres tables profiles, decks, want_lists, want_list_items, collection_items, and share_links with RLS as in section 6.11. Guests keep drafts, want lists, and collection in browser storage and may export without an account. Sign-in is required to save or share. DeckStore, WantListStore, and CollectionStore are the only client paths to user tables.</w:t>
            </w:r>
          </w:p>
        </w:tc>
      </w:tr>
      <w:tr>
        <w:tc>
          <w:tcPr>
            <w:tcW w:type="dxa" w:w="1872"/>
            <w:vAlign w:val="top"/>
          </w:tcPr>
          <w:p>
            <w:pPr>
              <w:spacing w:after="40"/>
            </w:pPr>
            <w:r>
              <w:rPr>
                <w:sz w:val="20"/>
              </w:rPr>
              <w:t>Alternatives</w:t>
            </w:r>
          </w:p>
        </w:tc>
        <w:tc>
          <w:tcPr>
            <w:tcW w:type="dxa" w:w="7488"/>
            <w:vAlign w:val="top"/>
          </w:tcPr>
          <w:p>
            <w:pPr>
              <w:spacing w:after="40"/>
            </w:pPr>
            <w:r>
              <w:rPr>
                <w:sz w:val="20"/>
              </w:rPr>
              <w:t>Firebase; roll-your-own auth on a VPS; require accounts for every deck.</w:t>
            </w:r>
          </w:p>
        </w:tc>
      </w:tr>
      <w:tr>
        <w:tc>
          <w:tcPr>
            <w:tcW w:type="dxa" w:w="1872"/>
            <w:vAlign w:val="top"/>
          </w:tcPr>
          <w:p>
            <w:pPr>
              <w:spacing w:after="40"/>
            </w:pPr>
            <w:r>
              <w:rPr>
                <w:sz w:val="20"/>
              </w:rPr>
              <w:t>Consequences</w:t>
            </w:r>
          </w:p>
        </w:tc>
        <w:tc>
          <w:tcPr>
            <w:tcW w:type="dxa" w:w="7488"/>
            <w:vAlign w:val="top"/>
          </w:tcPr>
          <w:p>
            <w:pPr>
              <w:spacing w:after="40"/>
            </w:pPr>
            <w:r>
              <w:rPr>
                <w:sz w:val="20"/>
              </w:rPr>
              <w:t>Fits the free-tier and static-UI constraint. Costs: free-tier limits are UNVERIFIED (S-02); Google OAuth consent branding; guest drafts do not sync across devices.</w:t>
            </w:r>
          </w:p>
        </w:tc>
      </w:tr>
      <w:tr>
        <w:tc>
          <w:tcPr>
            <w:tcW w:type="dxa" w:w="1872"/>
            <w:vAlign w:val="top"/>
          </w:tcPr>
          <w:p>
            <w:pPr>
              <w:spacing w:after="40"/>
            </w:pPr>
            <w:r>
              <w:rPr>
                <w:sz w:val="20"/>
              </w:rPr>
              <w:t>Revisit when</w:t>
            </w:r>
          </w:p>
        </w:tc>
        <w:tc>
          <w:tcPr>
            <w:tcW w:type="dxa" w:w="7488"/>
            <w:vAlign w:val="top"/>
          </w:tcPr>
          <w:p>
            <w:pPr>
              <w:spacing w:after="40"/>
            </w:pPr>
            <w:r>
              <w:rPr>
                <w:sz w:val="20"/>
              </w:rPr>
              <w:t>Free-tier caps block Must features, or Pages + Supabase CORS/auth setup fails spike S-02.</w:t>
            </w:r>
          </w:p>
        </w:tc>
      </w:tr>
    </w:tbl>
    <w:p>
      <w:pPr>
        <w:spacing w:after="40"/>
      </w:pPr>
    </w:p>
    <w:p>
      <w:pPr>
        <w:pStyle w:val="Heading2"/>
      </w:pPr>
      <w:r>
        <w:t>ADR-007 Opaque, revocable, read-only share links with no calendar expiry</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Shared decks must not expose edit rights or guessable ids (OD-07, FR-41, FR-42, FR-43).</w:t>
            </w:r>
          </w:p>
        </w:tc>
      </w:tr>
      <w:tr>
        <w:tc>
          <w:tcPr>
            <w:tcW w:type="dxa" w:w="1872"/>
            <w:vAlign w:val="top"/>
          </w:tcPr>
          <w:p>
            <w:pPr>
              <w:spacing w:after="40"/>
            </w:pPr>
            <w:r>
              <w:rPr>
                <w:sz w:val="20"/>
              </w:rPr>
              <w:t>Decision</w:t>
            </w:r>
          </w:p>
        </w:tc>
        <w:tc>
          <w:tcPr>
            <w:tcW w:type="dxa" w:w="7488"/>
            <w:vAlign w:val="top"/>
          </w:tcPr>
          <w:p>
            <w:pPr>
              <w:spacing w:after="40"/>
            </w:pPr>
            <w:r>
              <w:rPr>
                <w:sz w:val="20"/>
              </w:rPr>
              <w:t>Creating a share generates a ≥128-bit secret, stores only its hash with target_kind (deck|want_list) and target_id, and returns the raw token once in the share URL. The public route loads by hash lookup only. Links never expire on their own; they remain valid until the owner revokes them or deletes the parent deck/want list (or the account). Revoked and deleted-parent tokens return notFound. Share routes set Referrer-Policy to avoid leaking the token to store origins.</w:t>
            </w:r>
          </w:p>
        </w:tc>
      </w:tr>
      <w:tr>
        <w:tc>
          <w:tcPr>
            <w:tcW w:type="dxa" w:w="1872"/>
            <w:vAlign w:val="top"/>
          </w:tcPr>
          <w:p>
            <w:pPr>
              <w:spacing w:after="40"/>
            </w:pPr>
            <w:r>
              <w:rPr>
                <w:sz w:val="20"/>
              </w:rPr>
              <w:t>Alternatives</w:t>
            </w:r>
          </w:p>
        </w:tc>
        <w:tc>
          <w:tcPr>
            <w:tcW w:type="dxa" w:w="7488"/>
            <w:vAlign w:val="top"/>
          </w:tcPr>
          <w:p>
            <w:pPr>
              <w:spacing w:after="40"/>
            </w:pPr>
            <w:r>
              <w:rPr>
                <w:sz w:val="20"/>
              </w:rPr>
              <w:t>Public deck ids; signed JWTs in the URL without server revoke; write-capable collaborator links; default TTL (for example 90 days).</w:t>
            </w:r>
          </w:p>
        </w:tc>
      </w:tr>
      <w:tr>
        <w:tc>
          <w:tcPr>
            <w:tcW w:type="dxa" w:w="1872"/>
            <w:vAlign w:val="top"/>
          </w:tcPr>
          <w:p>
            <w:pPr>
              <w:spacing w:after="40"/>
            </w:pPr>
            <w:r>
              <w:rPr>
                <w:sz w:val="20"/>
              </w:rPr>
              <w:t>Consequences</w:t>
            </w:r>
          </w:p>
        </w:tc>
        <w:tc>
          <w:tcPr>
            <w:tcW w:type="dxa" w:w="7488"/>
            <w:vAlign w:val="top"/>
          </w:tcPr>
          <w:p>
            <w:pPr>
              <w:spacing w:after="40"/>
            </w:pPr>
            <w:r>
              <w:rPr>
                <w:sz w:val="20"/>
              </w:rPr>
              <w:t>Revocation is immediate for new loads; no calendar expiry to implement. URLs do not reveal ownership. Cost: an extra table and RLS policies; long-lived tokens raise guessability and leak risk (related R-08).</w:t>
            </w:r>
          </w:p>
        </w:tc>
      </w:tr>
      <w:tr>
        <w:tc>
          <w:tcPr>
            <w:tcW w:type="dxa" w:w="1872"/>
            <w:vAlign w:val="top"/>
          </w:tcPr>
          <w:p>
            <w:pPr>
              <w:spacing w:after="40"/>
            </w:pPr>
            <w:r>
              <w:rPr>
                <w:sz w:val="20"/>
              </w:rPr>
              <w:t>Revisit when</w:t>
            </w:r>
          </w:p>
        </w:tc>
        <w:tc>
          <w:tcPr>
            <w:tcW w:type="dxa" w:w="7488"/>
            <w:vAlign w:val="top"/>
          </w:tcPr>
          <w:p>
            <w:pPr>
              <w:spacing w:after="40"/>
            </w:pPr>
            <w:r>
              <w:rPr>
                <w:sz w:val="20"/>
              </w:rPr>
              <w:t>A future collaborator-edit feature is approved, or policy requires a default expiry.</w:t>
            </w:r>
          </w:p>
        </w:tc>
      </w:tr>
    </w:tbl>
    <w:p>
      <w:pPr>
        <w:spacing w:after="40"/>
      </w:pPr>
    </w:p>
    <w:p>
      <w:pPr>
        <w:pStyle w:val="Heading2"/>
      </w:pPr>
      <w:r>
        <w:t>ADR-008 Prices from YGOPRODeck snapshots plus store deep links; no TCGplayer API</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TCGplayer's API is closed to this project (OD-03, OD-08, FR-44, FR-45).</w:t>
            </w:r>
          </w:p>
        </w:tc>
      </w:tr>
      <w:tr>
        <w:tc>
          <w:tcPr>
            <w:tcW w:type="dxa" w:w="1872"/>
            <w:vAlign w:val="top"/>
          </w:tcPr>
          <w:p>
            <w:pPr>
              <w:spacing w:after="40"/>
            </w:pPr>
            <w:r>
              <w:rPr>
                <w:sz w:val="20"/>
              </w:rPr>
              <w:t>Decision</w:t>
            </w:r>
          </w:p>
        </w:tc>
        <w:tc>
          <w:tcPr>
            <w:tcW w:type="dxa" w:w="7488"/>
            <w:vAlign w:val="top"/>
          </w:tcPr>
          <w:p>
            <w:pPr>
              <w:spacing w:after="40"/>
            </w:pPr>
            <w:r>
              <w:rPr>
                <w:sz w:val="20"/>
              </w:rPr>
              <w:t>Publish price fields from YGOPRODeck card_prices during refresh. Detail and table views show the snapshot and buttons that open TCGplayer, CoolStuffInc, and Cardmarket URLs built only from fixed https origin templates with encoded query params. No server-side affiliate API in v1.</w:t>
            </w:r>
          </w:p>
        </w:tc>
      </w:tr>
      <w:tr>
        <w:tc>
          <w:tcPr>
            <w:tcW w:type="dxa" w:w="1872"/>
            <w:vAlign w:val="top"/>
          </w:tcPr>
          <w:p>
            <w:pPr>
              <w:spacing w:after="40"/>
            </w:pPr>
            <w:r>
              <w:rPr>
                <w:sz w:val="20"/>
              </w:rPr>
              <w:t>Alternatives</w:t>
            </w:r>
          </w:p>
        </w:tc>
        <w:tc>
          <w:tcPr>
            <w:tcW w:type="dxa" w:w="7488"/>
            <w:vAlign w:val="top"/>
          </w:tcPr>
          <w:p>
            <w:pPr>
              <w:spacing w:after="40"/>
            </w:pPr>
            <w:r>
              <w:rPr>
                <w:sz w:val="20"/>
              </w:rPr>
              <w:t>Integrate TCGplayer Partner API (unavailable); omit prices; scrape store pages at runtime.</w:t>
            </w:r>
          </w:p>
        </w:tc>
      </w:tr>
      <w:tr>
        <w:tc>
          <w:tcPr>
            <w:tcW w:type="dxa" w:w="1872"/>
            <w:vAlign w:val="top"/>
          </w:tcPr>
          <w:p>
            <w:pPr>
              <w:spacing w:after="40"/>
            </w:pPr>
            <w:r>
              <w:rPr>
                <w:sz w:val="20"/>
              </w:rPr>
              <w:t>Consequences</w:t>
            </w:r>
          </w:p>
        </w:tc>
        <w:tc>
          <w:tcPr>
            <w:tcW w:type="dxa" w:w="7488"/>
            <w:vAlign w:val="top"/>
          </w:tcPr>
          <w:p>
            <w:pPr>
              <w:spacing w:after="40"/>
            </w:pPr>
            <w:r>
              <w:rPr>
                <w:sz w:val="20"/>
              </w:rPr>
              <w:t>Honest about freshness (refresh cadence) without forbidden APIs. Cost: prices can be stale between refreshes; deep-link quality varies by vendor.</w:t>
            </w:r>
          </w:p>
        </w:tc>
      </w:tr>
      <w:tr>
        <w:tc>
          <w:tcPr>
            <w:tcW w:type="dxa" w:w="1872"/>
            <w:vAlign w:val="top"/>
          </w:tcPr>
          <w:p>
            <w:pPr>
              <w:spacing w:after="40"/>
            </w:pPr>
            <w:r>
              <w:rPr>
                <w:sz w:val="20"/>
              </w:rPr>
              <w:t>Revisit when</w:t>
            </w:r>
          </w:p>
        </w:tc>
        <w:tc>
          <w:tcPr>
            <w:tcW w:type="dxa" w:w="7488"/>
            <w:vAlign w:val="top"/>
          </w:tcPr>
          <w:p>
            <w:pPr>
              <w:spacing w:after="40"/>
            </w:pPr>
            <w:r>
              <w:rPr>
                <w:sz w:val="20"/>
              </w:rPr>
              <w:t>A permitted price API appears, or vendors break deep links systematically.</w:t>
            </w:r>
          </w:p>
        </w:tc>
      </w:tr>
    </w:tbl>
    <w:p>
      <w:pPr>
        <w:spacing w:after="40"/>
      </w:pPr>
    </w:p>
    <w:p>
      <w:pPr>
        <w:pStyle w:val="Heading2"/>
      </w:pPr>
      <w:r>
        <w:t>ADR-009 Client-side search index to hit under 100 ms on a mid-range phone</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Mid-game search is the primary path (NFR-01, FR-01, QS-01).</w:t>
            </w:r>
          </w:p>
        </w:tc>
      </w:tr>
      <w:tr>
        <w:tc>
          <w:tcPr>
            <w:tcW w:type="dxa" w:w="1872"/>
            <w:vAlign w:val="top"/>
          </w:tcPr>
          <w:p>
            <w:pPr>
              <w:spacing w:after="40"/>
            </w:pPr>
            <w:r>
              <w:rPr>
                <w:sz w:val="20"/>
              </w:rPr>
              <w:t>Decision</w:t>
            </w:r>
          </w:p>
        </w:tc>
        <w:tc>
          <w:tcPr>
            <w:tcW w:type="dxa" w:w="7488"/>
            <w:vAlign w:val="top"/>
          </w:tcPr>
          <w:p>
            <w:pPr>
              <w:spacing w:after="40"/>
            </w:pPr>
            <w:r>
              <w:rPr>
                <w:sz w:val="20"/>
              </w:rPr>
              <w:t>Build a compact in-memory index (name n-grams or prefix structure plus id map, and inverted bitsets per facet value) at load from published JSON. Search and FilterEngine run entirely on the client after load. Measure on the reference phone before calling the NFR met. If S-01 fails, optimize search in place: web worker, precomputed index, virtualized result lists, and lazy-loaded card data — do not replace React (ADR-001).</w:t>
            </w:r>
          </w:p>
        </w:tc>
      </w:tr>
      <w:tr>
        <w:tc>
          <w:tcPr>
            <w:tcW w:type="dxa" w:w="1872"/>
            <w:vAlign w:val="top"/>
          </w:tcPr>
          <w:p>
            <w:pPr>
              <w:spacing w:after="40"/>
            </w:pPr>
            <w:r>
              <w:rPr>
                <w:sz w:val="20"/>
              </w:rPr>
              <w:t>Alternatives</w:t>
            </w:r>
          </w:p>
        </w:tc>
        <w:tc>
          <w:tcPr>
            <w:tcW w:type="dxa" w:w="7488"/>
            <w:vAlign w:val="top"/>
          </w:tcPr>
          <w:p>
            <w:pPr>
              <w:spacing w:after="40"/>
            </w:pPr>
            <w:r>
              <w:rPr>
                <w:sz w:val="20"/>
              </w:rPr>
              <w:t>Server search API; full-array filter without an index; third-party search SaaS; switch to a lighter UI library when search is slow.</w:t>
            </w:r>
          </w:p>
        </w:tc>
      </w:tr>
      <w:tr>
        <w:tc>
          <w:tcPr>
            <w:tcW w:type="dxa" w:w="1872"/>
            <w:vAlign w:val="top"/>
          </w:tcPr>
          <w:p>
            <w:pPr>
              <w:spacing w:after="40"/>
            </w:pPr>
            <w:r>
              <w:rPr>
                <w:sz w:val="20"/>
              </w:rPr>
              <w:t>Consequences</w:t>
            </w:r>
          </w:p>
        </w:tc>
        <w:tc>
          <w:tcPr>
            <w:tcW w:type="dxa" w:w="7488"/>
            <w:vAlign w:val="top"/>
          </w:tcPr>
          <w:p>
            <w:pPr>
              <w:spacing w:after="40"/>
            </w:pPr>
            <w:r>
              <w:rPr>
                <w:sz w:val="20"/>
              </w:rPr>
              <w:t>Works offline-after-load on Pages with no search backend. Cost: memory on low-end phones; load time for the index file (trade with NFR-02); speed UNVERIFIED until S-01. Fallback path is search engineering, not a view-library swap. Facet recount shares this budget via ADR-012.</w:t>
            </w:r>
          </w:p>
        </w:tc>
      </w:tr>
      <w:tr>
        <w:tc>
          <w:tcPr>
            <w:tcW w:type="dxa" w:w="1872"/>
            <w:vAlign w:val="top"/>
          </w:tcPr>
          <w:p>
            <w:pPr>
              <w:spacing w:after="40"/>
            </w:pPr>
            <w:r>
              <w:rPr>
                <w:sz w:val="20"/>
              </w:rPr>
              <w:t>Revisit when</w:t>
            </w:r>
          </w:p>
        </w:tc>
        <w:tc>
          <w:tcPr>
            <w:tcW w:type="dxa" w:w="7488"/>
            <w:vAlign w:val="top"/>
          </w:tcPr>
          <w:p>
            <w:pPr>
              <w:spacing w:after="40"/>
            </w:pPr>
            <w:r>
              <w:rPr>
                <w:sz w:val="20"/>
              </w:rPr>
              <w:t>S-01 fails after the listed optimizations; then reconsider a trimmed published field set or a Worker-only index build.</w:t>
            </w:r>
          </w:p>
        </w:tc>
      </w:tr>
    </w:tbl>
    <w:p>
      <w:pPr>
        <w:spacing w:after="40"/>
      </w:pPr>
    </w:p>
    <w:p>
      <w:pPr>
        <w:pStyle w:val="Heading2"/>
      </w:pPr>
      <w:r>
        <w:t>ADR-010 Export YDK (Skill under #main), YDKE, TCGplayer Mass Entry, and plain text</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Simulators and shopping lists need interchange (FR-28, FR-29, FR-30, FR-31).</w:t>
            </w:r>
          </w:p>
        </w:tc>
      </w:tr>
      <w:tr>
        <w:tc>
          <w:tcPr>
            <w:tcW w:type="dxa" w:w="1872"/>
            <w:vAlign w:val="top"/>
          </w:tcPr>
          <w:p>
            <w:pPr>
              <w:spacing w:after="40"/>
            </w:pPr>
            <w:r>
              <w:rPr>
                <w:sz w:val="20"/>
              </w:rPr>
              <w:t>Decision</w:t>
            </w:r>
          </w:p>
        </w:tc>
        <w:tc>
          <w:tcPr>
            <w:tcW w:type="dxa" w:w="7488"/>
            <w:vAlign w:val="top"/>
          </w:tcPr>
          <w:p>
            <w:pPr>
              <w:spacing w:after="40"/>
            </w:pPr>
            <w:r>
              <w:rPr>
                <w:sz w:val="20"/>
              </w:rPr>
              <w:t>ExportCodec modules encode/decode under Node-testable functions with documented success and refused outcomes. YDK places the Speed Duel Skill card id under #main, matching YGOPRODeck's downloadYDK behavior. Also support YDKE, TCGplayer Mass Entry, and plain text. Import accepts UTF-8 YDK under size and line caps, refuses unknown ids, and uses the same Skill rule.</w:t>
            </w:r>
          </w:p>
        </w:tc>
      </w:tr>
      <w:tr>
        <w:tc>
          <w:tcPr>
            <w:tcW w:type="dxa" w:w="1872"/>
            <w:vAlign w:val="top"/>
          </w:tcPr>
          <w:p>
            <w:pPr>
              <w:spacing w:after="40"/>
            </w:pPr>
            <w:r>
              <w:rPr>
                <w:sz w:val="20"/>
              </w:rPr>
              <w:t>Alternatives</w:t>
            </w:r>
          </w:p>
        </w:tc>
        <w:tc>
          <w:tcPr>
            <w:tcW w:type="dxa" w:w="7488"/>
            <w:vAlign w:val="top"/>
          </w:tcPr>
          <w:p>
            <w:pPr>
              <w:spacing w:after="40"/>
            </w:pPr>
            <w:r>
              <w:rPr>
                <w:sz w:val="20"/>
              </w:rPr>
              <w:t>Only YDK; put Skill under a custom #skill section; skip Mass Entry.</w:t>
            </w:r>
          </w:p>
        </w:tc>
      </w:tr>
      <w:tr>
        <w:tc>
          <w:tcPr>
            <w:tcW w:type="dxa" w:w="1872"/>
            <w:vAlign w:val="top"/>
          </w:tcPr>
          <w:p>
            <w:pPr>
              <w:spacing w:after="40"/>
            </w:pPr>
            <w:r>
              <w:rPr>
                <w:sz w:val="20"/>
              </w:rPr>
              <w:t>Consequences</w:t>
            </w:r>
          </w:p>
        </w:tc>
        <w:tc>
          <w:tcPr>
            <w:tcW w:type="dxa" w:w="7488"/>
            <w:vAlign w:val="top"/>
          </w:tcPr>
          <w:p>
            <w:pPr>
              <w:spacing w:after="40"/>
            </w:pPr>
            <w:r>
              <w:rPr>
                <w:sz w:val="20"/>
              </w:rPr>
              <w:t>Interoperates with common tools. Cost: Skill placement across many Speed decks needs a corpus check (S-05).</w:t>
            </w:r>
          </w:p>
        </w:tc>
      </w:tr>
      <w:tr>
        <w:tc>
          <w:tcPr>
            <w:tcW w:type="dxa" w:w="1872"/>
            <w:vAlign w:val="top"/>
          </w:tcPr>
          <w:p>
            <w:pPr>
              <w:spacing w:after="40"/>
            </w:pPr>
            <w:r>
              <w:rPr>
                <w:sz w:val="20"/>
              </w:rPr>
              <w:t>Revisit when</w:t>
            </w:r>
          </w:p>
        </w:tc>
        <w:tc>
          <w:tcPr>
            <w:tcW w:type="dxa" w:w="7488"/>
            <w:vAlign w:val="top"/>
          </w:tcPr>
          <w:p>
            <w:pPr>
              <w:spacing w:after="40"/>
            </w:pPr>
            <w:r>
              <w:rPr>
                <w:sz w:val="20"/>
              </w:rPr>
              <w:t>YGOPRODeck or simulator conventions change.</w:t>
            </w:r>
          </w:p>
        </w:tc>
      </w:tr>
    </w:tbl>
    <w:p>
      <w:pPr>
        <w:spacing w:after="40"/>
      </w:pPr>
    </w:p>
    <w:p>
      <w:pPr>
        <w:pStyle w:val="Heading2"/>
      </w:pPr>
      <w:r>
        <w:t>ADR-011 Immediate hard delete of account data; provider backups age out within 30 days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Privacy retention is a Must (OD-10, FR-35, NFR-07, NFR-06). Owner decision 2026-10-27: no grace period.</w:t>
            </w:r>
          </w:p>
        </w:tc>
      </w:tr>
      <w:tr>
        <w:tc>
          <w:tcPr>
            <w:tcW w:type="dxa" w:w="1872"/>
            <w:vAlign w:val="top"/>
          </w:tcPr>
          <w:p>
            <w:pPr>
              <w:spacing w:after="40"/>
            </w:pPr>
            <w:r>
              <w:rPr>
                <w:sz w:val="20"/>
              </w:rPr>
              <w:t>Decision</w:t>
            </w:r>
          </w:p>
        </w:tc>
        <w:tc>
          <w:tcPr>
            <w:tcW w:type="dxa" w:w="7488"/>
            <w:vAlign w:val="top"/>
          </w:tcPr>
          <w:p>
            <w:pPr>
              <w:spacing w:after="40"/>
            </w:pPr>
            <w:r>
              <w:rPr>
                <w:sz w:val="20"/>
              </w:rPr>
              <w:t>On confirmed delete, one security-definer operation hard-deletes the owner's share_links, want lists (and items), collection items, and decks (CASCADE) then the auth user in the live Supabase project (no grace period). The user cannot sign in and share links stop working at once. Only provider-managed backups may retain residual copies until they age out within the 30-day window. Static published card data is unaffected.</w:t>
            </w:r>
          </w:p>
        </w:tc>
      </w:tr>
      <w:tr>
        <w:tc>
          <w:tcPr>
            <w:tcW w:type="dxa" w:w="1872"/>
            <w:vAlign w:val="top"/>
          </w:tcPr>
          <w:p>
            <w:pPr>
              <w:spacing w:after="40"/>
            </w:pPr>
            <w:r>
              <w:rPr>
                <w:sz w:val="20"/>
              </w:rPr>
              <w:t>Alternatives</w:t>
            </w:r>
          </w:p>
        </w:tc>
        <w:tc>
          <w:tcPr>
            <w:tcW w:type="dxa" w:w="7488"/>
            <w:vAlign w:val="top"/>
          </w:tcPr>
          <w:p>
            <w:pPr>
              <w:spacing w:after="40"/>
            </w:pPr>
            <w:r>
              <w:rPr>
                <w:sz w:val="20"/>
              </w:rPr>
              <w:t>Soft-delete with a user-facing grace period; schedule-only purge inside 30 days with data still queryable; keep decks anonymized for analytics.</w:t>
            </w:r>
          </w:p>
        </w:tc>
      </w:tr>
      <w:tr>
        <w:tc>
          <w:tcPr>
            <w:tcW w:type="dxa" w:w="1872"/>
            <w:vAlign w:val="top"/>
          </w:tcPr>
          <w:p>
            <w:pPr>
              <w:spacing w:after="40"/>
            </w:pPr>
            <w:r>
              <w:rPr>
                <w:sz w:val="20"/>
              </w:rPr>
              <w:t>Consequences</w:t>
            </w:r>
          </w:p>
        </w:tc>
        <w:tc>
          <w:tcPr>
            <w:tcW w:type="dxa" w:w="7488"/>
            <w:vAlign w:val="top"/>
          </w:tcPr>
          <w:p>
            <w:pPr>
              <w:spacing w:after="40"/>
            </w:pPr>
            <w:r>
              <w:rPr>
                <w:sz w:val="20"/>
              </w:rPr>
              <w:t>App-visible personal data is gone immediately. NFR-07 bounds residual provider backups to 30 days. Cost: verify immediate hard delete in AC-07. Aligns with SRS 1.0 OD-10.</w:t>
            </w:r>
          </w:p>
        </w:tc>
      </w:tr>
      <w:tr>
        <w:tc>
          <w:tcPr>
            <w:tcW w:type="dxa" w:w="1872"/>
            <w:vAlign w:val="top"/>
          </w:tcPr>
          <w:p>
            <w:pPr>
              <w:spacing w:after="40"/>
            </w:pPr>
            <w:r>
              <w:rPr>
                <w:sz w:val="20"/>
              </w:rPr>
              <w:t>Revisit when</w:t>
            </w:r>
          </w:p>
        </w:tc>
        <w:tc>
          <w:tcPr>
            <w:tcW w:type="dxa" w:w="7488"/>
            <w:vAlign w:val="top"/>
          </w:tcPr>
          <w:p>
            <w:pPr>
              <w:spacing w:after="40"/>
            </w:pPr>
            <w:r>
              <w:rPr>
                <w:sz w:val="20"/>
              </w:rPr>
              <w:t>Policy or host requirements demand a grace period, or Supabase cannot hard-delete without a backup residual beyond 30 days.</w:t>
            </w:r>
          </w:p>
        </w:tc>
      </w:tr>
    </w:tbl>
    <w:p>
      <w:pPr>
        <w:spacing w:after="40"/>
      </w:pPr>
    </w:p>
    <w:p>
      <w:pPr>
        <w:pStyle w:val="Heading2"/>
      </w:pPr>
      <w:r>
        <w:t>ADR-012 Declarative faceted filters with client-side option counts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Catalog browsing needs rich filters that stay general across TCGs and specialize per game, with marketplace-style facet counts (FR-56, FR-57, FR-58).</w:t>
            </w:r>
          </w:p>
        </w:tc>
      </w:tr>
      <w:tr>
        <w:tc>
          <w:tcPr>
            <w:tcW w:type="dxa" w:w="1872"/>
            <w:vAlign w:val="top"/>
          </w:tcPr>
          <w:p>
            <w:pPr>
              <w:spacing w:after="40"/>
            </w:pPr>
            <w:r>
              <w:rPr>
                <w:sz w:val="20"/>
              </w:rPr>
              <w:t>Decision</w:t>
            </w:r>
          </w:p>
        </w:tc>
        <w:tc>
          <w:tcPr>
            <w:tcW w:type="dxa" w:w="7488"/>
            <w:vAlign w:val="top"/>
          </w:tcPr>
          <w:p>
            <w:pPr>
              <w:spacing w:after="40"/>
            </w:pPr>
            <w:r>
              <w:rPr>
                <w:sz w:val="20"/>
              </w:rPr>
              <w:t>Ship a FilterEngine that reads core + game-extension filter declarations (field, control type, group, include/exclude, AND/OR). Pair it with SearchIndex inverted bitsets so each facet change returns match ids and per-option counts in one client-side pass. Target the same 100 ms budget as typed search after load; if full recount of every option misses the budget on the reference phone, keep name search ≤100 ms and refresh off-screen facet groups lazily. UI: desktop left sidebar; phone full-screen Filters sheet; chips + Clear all. Pattern described as faceted search in the style of major card marketplaces (owner UX reference recorded privately).</w:t>
            </w:r>
          </w:p>
        </w:tc>
      </w:tr>
      <w:tr>
        <w:tc>
          <w:tcPr>
            <w:tcW w:type="dxa" w:w="1872"/>
            <w:vAlign w:val="top"/>
          </w:tcPr>
          <w:p>
            <w:pPr>
              <w:spacing w:after="40"/>
            </w:pPr>
            <w:r>
              <w:rPr>
                <w:sz w:val="20"/>
              </w:rPr>
              <w:t>Alternatives</w:t>
            </w:r>
          </w:p>
        </w:tc>
        <w:tc>
          <w:tcPr>
            <w:tcW w:type="dxa" w:w="7488"/>
            <w:vAlign w:val="top"/>
          </w:tcPr>
          <w:p>
            <w:pPr>
              <w:spacing w:after="40"/>
            </w:pPr>
            <w:r>
              <w:rPr>
                <w:sz w:val="20"/>
              </w:rPr>
              <w:t>Hard-coded Yu-Gi-Oh!-only filter form; server facet API; no live option counts; single horizontal chip row only.</w:t>
            </w:r>
          </w:p>
        </w:tc>
      </w:tr>
      <w:tr>
        <w:tc>
          <w:tcPr>
            <w:tcW w:type="dxa" w:w="1872"/>
            <w:vAlign w:val="top"/>
          </w:tcPr>
          <w:p>
            <w:pPr>
              <w:spacing w:after="40"/>
            </w:pPr>
            <w:r>
              <w:rPr>
                <w:sz w:val="20"/>
              </w:rPr>
              <w:t>Consequences</w:t>
            </w:r>
          </w:p>
        </w:tc>
        <w:tc>
          <w:tcPr>
            <w:tcW w:type="dxa" w:w="7488"/>
            <w:vAlign w:val="top"/>
          </w:tcPr>
          <w:p>
            <w:pPr>
              <w:spacing w:after="40"/>
            </w:pPr>
            <w:r>
              <w:rPr>
                <w:sz w:val="20"/>
              </w:rPr>
              <w:t>New games add declaration data without Filter panel rewrites. Cost: larger index memory; facet recount UNVERIFIED until S-01; presets are Should only (FR-59).</w:t>
            </w:r>
          </w:p>
        </w:tc>
      </w:tr>
      <w:tr>
        <w:tc>
          <w:tcPr>
            <w:tcW w:type="dxa" w:w="1872"/>
            <w:vAlign w:val="top"/>
          </w:tcPr>
          <w:p>
            <w:pPr>
              <w:spacing w:after="40"/>
            </w:pPr>
            <w:r>
              <w:rPr>
                <w:sz w:val="20"/>
              </w:rPr>
              <w:t>Revisit when</w:t>
            </w:r>
          </w:p>
        </w:tc>
        <w:tc>
          <w:tcPr>
            <w:tcW w:type="dxa" w:w="7488"/>
            <w:vAlign w:val="top"/>
          </w:tcPr>
          <w:p>
            <w:pPr>
              <w:spacing w:after="40"/>
            </w:pPr>
            <w:r>
              <w:rPr>
                <w:sz w:val="20"/>
              </w:rPr>
              <w:t>S-01 shows facet counts cannot meet a usable budget even with lazy groups; then drop live counts from Must and show counts on Apply only.</w:t>
            </w:r>
          </w:p>
        </w:tc>
      </w:tr>
    </w:tbl>
    <w:p>
      <w:pPr>
        <w:spacing w:after="40"/>
      </w:pPr>
    </w:p>
    <w:p>
      <w:pPr>
        <w:pStyle w:val="Heading2"/>
      </w:pPr>
      <w:r>
        <w:t>ADR-013 Want lists and basic collection beside decks, with shared opaque links</w:t>
      </w:r>
    </w:p>
    <w:tbl>
      <w:tblPr>
        <w:tblStyle w:val="TableGrid"/>
        <w:tblW w:type="auto" w:w="0"/>
        <w:tblLayout w:type="fixed"/>
        <w:tblLook w:firstColumn="1" w:firstRow="1" w:lastColumn="0" w:lastRow="0" w:noHBand="0" w:noVBand="1" w:val="04A0"/>
      </w:tblPr>
      <w:tblGrid>
        <w:gridCol w:w="1872"/>
        <w:gridCol w:w="7488"/>
      </w:tblGrid>
      <w:tr>
        <w:trPr>
          <w:tblHeader w:val="true"/>
        </w:trPr>
        <w:tc>
          <w:tcPr>
            <w:tcW w:type="dxa" w:w="1872"/>
            <w:shd w:val="clear" w:color="auto" w:fill="D9E2F3"/>
          </w:tcPr>
          <w:p>
            <w:r/>
            <w:r>
              <w:rPr>
                <w:b/>
                <w:sz w:val="20"/>
              </w:rPr>
              <w:t>Field</w:t>
            </w:r>
          </w:p>
        </w:tc>
        <w:tc>
          <w:tcPr>
            <w:tcW w:type="dxa" w:w="7488"/>
            <w:shd w:val="clear" w:color="auto" w:fill="D9E2F3"/>
          </w:tcPr>
          <w:p>
            <w:r/>
            <w:r>
              <w:rPr>
                <w:b/>
                <w:sz w:val="20"/>
              </w:rPr>
              <w:t>Content</w:t>
            </w:r>
          </w:p>
        </w:tc>
      </w:tr>
      <w:tr>
        <w:tc>
          <w:tcPr>
            <w:tcW w:type="dxa" w:w="1872"/>
            <w:vAlign w:val="top"/>
          </w:tcPr>
          <w:p>
            <w:pPr>
              <w:spacing w:after="40"/>
            </w:pPr>
            <w:r>
              <w:rPr>
                <w:sz w:val="20"/>
              </w:rPr>
              <w:t>Status</w:t>
            </w:r>
          </w:p>
        </w:tc>
        <w:tc>
          <w:tcPr>
            <w:tcW w:type="dxa" w:w="7488"/>
            <w:vAlign w:val="top"/>
          </w:tcPr>
          <w:p>
            <w:pPr>
              <w:spacing w:after="40"/>
            </w:pPr>
            <w:r>
              <w:rPr>
                <w:sz w:val="20"/>
              </w:rPr>
              <w:t>Accepted 2026-10-27</w:t>
            </w:r>
          </w:p>
        </w:tc>
      </w:tr>
      <w:tr>
        <w:tc>
          <w:tcPr>
            <w:tcW w:type="dxa" w:w="1872"/>
            <w:vAlign w:val="top"/>
          </w:tcPr>
          <w:p>
            <w:pPr>
              <w:spacing w:after="40"/>
            </w:pPr>
            <w:r>
              <w:rPr>
                <w:sz w:val="20"/>
              </w:rPr>
              <w:t>Context</w:t>
            </w:r>
          </w:p>
        </w:tc>
        <w:tc>
          <w:tcPr>
            <w:tcW w:type="dxa" w:w="7488"/>
            <w:vAlign w:val="top"/>
          </w:tcPr>
          <w:p>
            <w:pPr>
              <w:spacing w:after="40"/>
            </w:pPr>
            <w:r>
              <w:rPr>
                <w:sz w:val="20"/>
              </w:rPr>
              <w:t>Players need buy lists and ownership tracking in v1 (FR-61, FR-66, FR-69).</w:t>
            </w:r>
          </w:p>
        </w:tc>
      </w:tr>
      <w:tr>
        <w:tc>
          <w:tcPr>
            <w:tcW w:type="dxa" w:w="1872"/>
            <w:vAlign w:val="top"/>
          </w:tcPr>
          <w:p>
            <w:pPr>
              <w:spacing w:after="40"/>
            </w:pPr>
            <w:r>
              <w:rPr>
                <w:sz w:val="20"/>
              </w:rPr>
              <w:t>Decision</w:t>
            </w:r>
          </w:p>
        </w:tc>
        <w:tc>
          <w:tcPr>
            <w:tcW w:type="dxa" w:w="7488"/>
            <w:vAlign w:val="top"/>
          </w:tcPr>
          <w:p>
            <w:pPr>
              <w:spacing w:after="40"/>
            </w:pPr>
            <w:r>
              <w:rPr>
                <w:sz w:val="20"/>
              </w:rPr>
              <w:t>Add WantListStore and CollectionStore beside DeckStore. Persist want_lists, want_list_items, and collection_items under RLS; guests use browser storage. ShareService targets decks or want lists via share_links.target_kind. DeckBuilder reads CollectionStore for owned/missing and can push missing qty into a want list. Price totals on want lists use the published YGOPRODeck snapshot only. Purchase price, value summaries (current / paid / P/L), customizable Lists/Collection tables, and per-item condition/variant flags are in v1 (FR-75, FR-76, FR-77, FR-72, FR-73, FR-74). Optional my_value override is Should (FR-78, REC-VALUE-01). Deck purchase-price source is open (REC-VALUE-02: prefer inherit from matching collection_items for simplicity). Out of v1: graded slabs, value history charts, and third-party collection importers.</w:t>
            </w:r>
          </w:p>
        </w:tc>
      </w:tr>
      <w:tr>
        <w:tc>
          <w:tcPr>
            <w:tcW w:type="dxa" w:w="1872"/>
            <w:vAlign w:val="top"/>
          </w:tcPr>
          <w:p>
            <w:pPr>
              <w:spacing w:after="40"/>
            </w:pPr>
            <w:r>
              <w:rPr>
                <w:sz w:val="20"/>
              </w:rPr>
              <w:t>Alternatives</w:t>
            </w:r>
          </w:p>
        </w:tc>
        <w:tc>
          <w:tcPr>
            <w:tcW w:type="dxa" w:w="7488"/>
            <w:vAlign w:val="top"/>
          </w:tcPr>
          <w:p>
            <w:pPr>
              <w:spacing w:after="40"/>
            </w:pPr>
            <w:r>
              <w:rPr>
                <w:sz w:val="20"/>
              </w:rPr>
              <w:t>Defer collection to a later version; store ownership only as a flag on deck cards; scrape other apps' collection formats.</w:t>
            </w:r>
          </w:p>
        </w:tc>
      </w:tr>
      <w:tr>
        <w:tc>
          <w:tcPr>
            <w:tcW w:type="dxa" w:w="1872"/>
            <w:vAlign w:val="top"/>
          </w:tcPr>
          <w:p>
            <w:pPr>
              <w:spacing w:after="40"/>
            </w:pPr>
            <w:r>
              <w:rPr>
                <w:sz w:val="20"/>
              </w:rPr>
              <w:t>Consequences</w:t>
            </w:r>
          </w:p>
        </w:tc>
        <w:tc>
          <w:tcPr>
            <w:tcW w:type="dxa" w:w="7488"/>
            <w:vAlign w:val="top"/>
          </w:tcPr>
          <w:p>
            <w:pPr>
              <w:spacing w:after="40"/>
            </w:pPr>
            <w:r>
              <w:rPr>
                <w:sz w:val="20"/>
              </w:rPr>
              <w:t>One account model covers decks, wants, and ownership. Cost: more tables and RLS; share_links schema grows a target_kind; guest sync across devices still absent.</w:t>
            </w:r>
          </w:p>
        </w:tc>
      </w:tr>
      <w:tr>
        <w:tc>
          <w:tcPr>
            <w:tcW w:type="dxa" w:w="1872"/>
            <w:vAlign w:val="top"/>
          </w:tcPr>
          <w:p>
            <w:pPr>
              <w:spacing w:after="40"/>
            </w:pPr>
            <w:r>
              <w:rPr>
                <w:sz w:val="20"/>
              </w:rPr>
              <w:t>Revisit when</w:t>
            </w:r>
          </w:p>
        </w:tc>
        <w:tc>
          <w:tcPr>
            <w:tcW w:type="dxa" w:w="7488"/>
            <w:vAlign w:val="top"/>
          </w:tcPr>
          <w:p>
            <w:pPr>
              <w:spacing w:after="40"/>
            </w:pPr>
            <w:r>
              <w:rPr>
                <w:sz w:val="20"/>
              </w:rPr>
              <w:t>Condition/grading becomes Must, or a licensed collection import API appears.</w:t>
            </w:r>
          </w:p>
        </w:tc>
      </w:tr>
    </w:tbl>
    <w:p>
      <w:pPr>
        <w:spacing w:after="40"/>
      </w:pPr>
    </w:p>
    <w:p>
      <w:pPr>
        <w:pStyle w:val="Heading1"/>
      </w:pPr>
      <w:r>
        <w:t>8. Risks</w:t>
      </w:r>
    </w:p>
    <w:tbl>
      <w:tblPr>
        <w:tblStyle w:val="TableGrid"/>
        <w:tblW w:type="auto" w:w="0"/>
        <w:tblLayout w:type="fixed"/>
        <w:tblLook w:firstColumn="1" w:firstRow="1" w:lastColumn="0" w:lastRow="0" w:noHBand="0" w:noVBand="1" w:val="04A0"/>
      </w:tblPr>
      <w:tblGrid>
        <w:gridCol w:w="720"/>
        <w:gridCol w:w="2448"/>
        <w:gridCol w:w="1152"/>
        <w:gridCol w:w="1008"/>
        <w:gridCol w:w="2880"/>
        <w:gridCol w:w="1152"/>
      </w:tblGrid>
      <w:tr>
        <w:trPr>
          <w:tblHeader w:val="true"/>
        </w:trPr>
        <w:tc>
          <w:tcPr>
            <w:tcW w:type="dxa" w:w="720"/>
            <w:shd w:val="clear" w:color="auto" w:fill="D9E2F3"/>
          </w:tcPr>
          <w:p>
            <w:r/>
            <w:r>
              <w:rPr>
                <w:b/>
                <w:sz w:val="18"/>
              </w:rPr>
              <w:t>ID</w:t>
            </w:r>
          </w:p>
        </w:tc>
        <w:tc>
          <w:tcPr>
            <w:tcW w:type="dxa" w:w="2448"/>
            <w:shd w:val="clear" w:color="auto" w:fill="D9E2F3"/>
          </w:tcPr>
          <w:p>
            <w:r/>
            <w:r>
              <w:rPr>
                <w:b/>
                <w:sz w:val="18"/>
              </w:rPr>
              <w:t>Risk</w:t>
            </w:r>
          </w:p>
        </w:tc>
        <w:tc>
          <w:tcPr>
            <w:tcW w:type="dxa" w:w="1152"/>
            <w:shd w:val="clear" w:color="auto" w:fill="D9E2F3"/>
          </w:tcPr>
          <w:p>
            <w:r/>
            <w:r>
              <w:rPr>
                <w:b/>
                <w:sz w:val="18"/>
              </w:rPr>
              <w:t>Likelihood</w:t>
            </w:r>
          </w:p>
        </w:tc>
        <w:tc>
          <w:tcPr>
            <w:tcW w:type="dxa" w:w="1008"/>
            <w:shd w:val="clear" w:color="auto" w:fill="D9E2F3"/>
          </w:tcPr>
          <w:p>
            <w:r/>
            <w:r>
              <w:rPr>
                <w:b/>
                <w:sz w:val="18"/>
              </w:rPr>
              <w:t>Impact</w:t>
            </w:r>
          </w:p>
        </w:tc>
        <w:tc>
          <w:tcPr>
            <w:tcW w:type="dxa" w:w="2880"/>
            <w:shd w:val="clear" w:color="auto" w:fill="D9E2F3"/>
          </w:tcPr>
          <w:p>
            <w:r/>
            <w:r>
              <w:rPr>
                <w:b/>
                <w:sz w:val="18"/>
              </w:rPr>
              <w:t>Mitigation</w:t>
            </w:r>
          </w:p>
        </w:tc>
        <w:tc>
          <w:tcPr>
            <w:tcW w:type="dxa" w:w="1152"/>
            <w:shd w:val="clear" w:color="auto" w:fill="D9E2F3"/>
          </w:tcPr>
          <w:p>
            <w:r/>
            <w:r>
              <w:rPr>
                <w:b/>
                <w:sz w:val="18"/>
              </w:rPr>
              <w:t>Owner</w:t>
            </w:r>
          </w:p>
        </w:tc>
      </w:tr>
      <w:tr>
        <w:tc>
          <w:tcPr>
            <w:tcW w:type="dxa" w:w="720"/>
            <w:vAlign w:val="top"/>
          </w:tcPr>
          <w:p>
            <w:pPr>
              <w:spacing w:after="40"/>
            </w:pPr>
            <w:r>
              <w:rPr>
                <w:sz w:val="18"/>
              </w:rPr>
              <w:t>R-01</w:t>
            </w:r>
          </w:p>
        </w:tc>
        <w:tc>
          <w:tcPr>
            <w:tcW w:type="dxa" w:w="2448"/>
            <w:vAlign w:val="top"/>
          </w:tcPr>
          <w:p>
            <w:pPr>
              <w:spacing w:after="40"/>
            </w:pPr>
            <w:r>
              <w:rPr>
                <w:sz w:val="18"/>
              </w:rPr>
              <w:t>Client search or facet-count refresh misses the 100 ms target on the reference phone</w:t>
            </w:r>
          </w:p>
        </w:tc>
        <w:tc>
          <w:tcPr>
            <w:tcW w:type="dxa" w:w="1152"/>
            <w:vAlign w:val="top"/>
          </w:tcPr>
          <w:p>
            <w:pPr>
              <w:spacing w:after="40"/>
            </w:pPr>
            <w:r>
              <w:rPr>
                <w:sz w:val="18"/>
              </w:rPr>
              <w:t>Medium</w:t>
            </w:r>
          </w:p>
        </w:tc>
        <w:tc>
          <w:tcPr>
            <w:tcW w:type="dxa" w:w="1008"/>
            <w:vAlign w:val="top"/>
          </w:tcPr>
          <w:p>
            <w:pPr>
              <w:spacing w:after="40"/>
            </w:pPr>
            <w:r>
              <w:rPr>
                <w:sz w:val="18"/>
              </w:rPr>
              <w:t>High</w:t>
            </w:r>
          </w:p>
        </w:tc>
        <w:tc>
          <w:tcPr>
            <w:tcW w:type="dxa" w:w="2880"/>
            <w:vAlign w:val="top"/>
          </w:tcPr>
          <w:p>
            <w:pPr>
              <w:spacing w:after="40"/>
            </w:pPr>
            <w:r>
              <w:rPr>
                <w:sz w:val="18"/>
              </w:rPr>
              <w:t>Spike S-01; Worker or trimmed fields; lazy off-screen facet groups per ADR-012</w:t>
            </w:r>
          </w:p>
        </w:tc>
        <w:tc>
          <w:tcPr>
            <w:tcW w:type="dxa" w:w="1152"/>
            <w:vAlign w:val="top"/>
          </w:tcPr>
          <w:p>
            <w:pPr>
              <w:spacing w:after="40"/>
            </w:pPr>
            <w:r>
              <w:rPr>
                <w:sz w:val="18"/>
              </w:rPr>
              <w:t>Developer</w:t>
            </w:r>
          </w:p>
        </w:tc>
      </w:tr>
      <w:tr>
        <w:tc>
          <w:tcPr>
            <w:tcW w:type="dxa" w:w="720"/>
            <w:vAlign w:val="top"/>
          </w:tcPr>
          <w:p>
            <w:pPr>
              <w:spacing w:after="40"/>
            </w:pPr>
            <w:r>
              <w:rPr>
                <w:sz w:val="18"/>
              </w:rPr>
              <w:t>R-02</w:t>
            </w:r>
          </w:p>
        </w:tc>
        <w:tc>
          <w:tcPr>
            <w:tcW w:type="dxa" w:w="2448"/>
            <w:vAlign w:val="top"/>
          </w:tcPr>
          <w:p>
            <w:pPr>
              <w:spacing w:after="40"/>
            </w:pPr>
            <w:r>
              <w:rPr>
                <w:sz w:val="18"/>
              </w:rPr>
              <w:t>Supabase free-tier quotas block auth or deck saves</w:t>
            </w:r>
          </w:p>
        </w:tc>
        <w:tc>
          <w:tcPr>
            <w:tcW w:type="dxa" w:w="1152"/>
            <w:vAlign w:val="top"/>
          </w:tcPr>
          <w:p>
            <w:pPr>
              <w:spacing w:after="40"/>
            </w:pPr>
            <w:r>
              <w:rPr>
                <w:sz w:val="18"/>
              </w:rPr>
              <w:t>Medium</w:t>
            </w:r>
          </w:p>
        </w:tc>
        <w:tc>
          <w:tcPr>
            <w:tcW w:type="dxa" w:w="1008"/>
            <w:vAlign w:val="top"/>
          </w:tcPr>
          <w:p>
            <w:pPr>
              <w:spacing w:after="40"/>
            </w:pPr>
            <w:r>
              <w:rPr>
                <w:sz w:val="18"/>
              </w:rPr>
              <w:t>High</w:t>
            </w:r>
          </w:p>
        </w:tc>
        <w:tc>
          <w:tcPr>
            <w:tcW w:type="dxa" w:w="2880"/>
            <w:vAlign w:val="top"/>
          </w:tcPr>
          <w:p>
            <w:pPr>
              <w:spacing w:after="40"/>
            </w:pPr>
            <w:r>
              <w:rPr>
                <w:sz w:val="18"/>
              </w:rPr>
              <w:t>Spike S-02; document limits; plan a paid tier or cut share volume</w:t>
            </w:r>
          </w:p>
        </w:tc>
        <w:tc>
          <w:tcPr>
            <w:tcW w:type="dxa" w:w="1152"/>
            <w:vAlign w:val="top"/>
          </w:tcPr>
          <w:p>
            <w:pPr>
              <w:spacing w:after="40"/>
            </w:pPr>
            <w:r>
              <w:rPr>
                <w:sz w:val="18"/>
              </w:rPr>
              <w:t>Developer</w:t>
            </w:r>
          </w:p>
        </w:tc>
      </w:tr>
      <w:tr>
        <w:tc>
          <w:tcPr>
            <w:tcW w:type="dxa" w:w="720"/>
            <w:vAlign w:val="top"/>
          </w:tcPr>
          <w:p>
            <w:pPr>
              <w:spacing w:after="40"/>
            </w:pPr>
            <w:r>
              <w:rPr>
                <w:sz w:val="18"/>
              </w:rPr>
              <w:t>R-03</w:t>
            </w:r>
          </w:p>
        </w:tc>
        <w:tc>
          <w:tcPr>
            <w:tcW w:type="dxa" w:w="2448"/>
            <w:vAlign w:val="top"/>
          </w:tcPr>
          <w:p>
            <w:pPr>
              <w:spacing w:after="40"/>
            </w:pPr>
            <w:r>
              <w:rPr>
                <w:sz w:val="18"/>
              </w:rPr>
              <w:t>Goat / HAT / Tengu banlist snapshots are incomplete or disputed</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Spike S-03; cite sources in format files; mark uncertain rows</w:t>
            </w:r>
          </w:p>
        </w:tc>
        <w:tc>
          <w:tcPr>
            <w:tcW w:type="dxa" w:w="1152"/>
            <w:vAlign w:val="top"/>
          </w:tcPr>
          <w:p>
            <w:pPr>
              <w:spacing w:after="40"/>
            </w:pPr>
            <w:r>
              <w:rPr>
                <w:sz w:val="18"/>
              </w:rPr>
              <w:t>Developer</w:t>
            </w:r>
          </w:p>
        </w:tc>
      </w:tr>
      <w:tr>
        <w:tc>
          <w:tcPr>
            <w:tcW w:type="dxa" w:w="720"/>
            <w:vAlign w:val="top"/>
          </w:tcPr>
          <w:p>
            <w:pPr>
              <w:spacing w:after="40"/>
            </w:pPr>
            <w:r>
              <w:rPr>
                <w:sz w:val="18"/>
              </w:rPr>
              <w:t>R-04</w:t>
            </w:r>
          </w:p>
        </w:tc>
        <w:tc>
          <w:tcPr>
            <w:tcW w:type="dxa" w:w="2448"/>
            <w:vAlign w:val="top"/>
          </w:tcPr>
          <w:p>
            <w:pPr>
              <w:spacing w:after="40"/>
            </w:pPr>
            <w:r>
              <w:rPr>
                <w:sz w:val="18"/>
              </w:rPr>
              <w:t>An npm dependency license is incompatible with the Notices page</w:t>
            </w:r>
          </w:p>
        </w:tc>
        <w:tc>
          <w:tcPr>
            <w:tcW w:type="dxa" w:w="1152"/>
            <w:vAlign w:val="top"/>
          </w:tcPr>
          <w:p>
            <w:pPr>
              <w:spacing w:after="40"/>
            </w:pPr>
            <w:r>
              <w:rPr>
                <w:sz w:val="18"/>
              </w:rPr>
              <w:t>Low</w:t>
            </w:r>
          </w:p>
        </w:tc>
        <w:tc>
          <w:tcPr>
            <w:tcW w:type="dxa" w:w="1008"/>
            <w:vAlign w:val="top"/>
          </w:tcPr>
          <w:p>
            <w:pPr>
              <w:spacing w:after="40"/>
            </w:pPr>
            <w:r>
              <w:rPr>
                <w:sz w:val="18"/>
              </w:rPr>
              <w:t>Medium</w:t>
            </w:r>
          </w:p>
        </w:tc>
        <w:tc>
          <w:tcPr>
            <w:tcW w:type="dxa" w:w="2880"/>
            <w:vAlign w:val="top"/>
          </w:tcPr>
          <w:p>
            <w:pPr>
              <w:spacing w:after="40"/>
            </w:pPr>
            <w:r>
              <w:rPr>
                <w:sz w:val="18"/>
              </w:rPr>
              <w:t>Spike S-04 license scan in CI; replace the package</w:t>
            </w:r>
          </w:p>
        </w:tc>
        <w:tc>
          <w:tcPr>
            <w:tcW w:type="dxa" w:w="1152"/>
            <w:vAlign w:val="top"/>
          </w:tcPr>
          <w:p>
            <w:pPr>
              <w:spacing w:after="40"/>
            </w:pPr>
            <w:r>
              <w:rPr>
                <w:sz w:val="18"/>
              </w:rPr>
              <w:t>Developer</w:t>
            </w:r>
          </w:p>
        </w:tc>
      </w:tr>
      <w:tr>
        <w:tc>
          <w:tcPr>
            <w:tcW w:type="dxa" w:w="720"/>
            <w:vAlign w:val="top"/>
          </w:tcPr>
          <w:p>
            <w:pPr>
              <w:spacing w:after="40"/>
            </w:pPr>
            <w:r>
              <w:rPr>
                <w:sz w:val="18"/>
              </w:rPr>
              <w:t>R-05</w:t>
            </w:r>
          </w:p>
        </w:tc>
        <w:tc>
          <w:tcPr>
            <w:tcW w:type="dxa" w:w="2448"/>
            <w:vAlign w:val="top"/>
          </w:tcPr>
          <w:p>
            <w:pPr>
              <w:spacing w:after="40"/>
            </w:pPr>
            <w:r>
              <w:rPr>
                <w:sz w:val="18"/>
              </w:rPr>
              <w:t>Skill card placement differs across Speed Duel decks in the wild</w:t>
            </w:r>
          </w:p>
        </w:tc>
        <w:tc>
          <w:tcPr>
            <w:tcW w:type="dxa" w:w="1152"/>
            <w:vAlign w:val="top"/>
          </w:tcPr>
          <w:p>
            <w:pPr>
              <w:spacing w:after="40"/>
            </w:pPr>
            <w:r>
              <w:rPr>
                <w:sz w:val="18"/>
              </w:rPr>
              <w:t>Medium</w:t>
            </w:r>
          </w:p>
        </w:tc>
        <w:tc>
          <w:tcPr>
            <w:tcW w:type="dxa" w:w="1008"/>
            <w:vAlign w:val="top"/>
          </w:tcPr>
          <w:p>
            <w:pPr>
              <w:spacing w:after="40"/>
            </w:pPr>
            <w:r>
              <w:rPr>
                <w:sz w:val="18"/>
              </w:rPr>
              <w:t>Medium</w:t>
            </w:r>
          </w:p>
        </w:tc>
        <w:tc>
          <w:tcPr>
            <w:tcW w:type="dxa" w:w="2880"/>
            <w:vAlign w:val="top"/>
          </w:tcPr>
          <w:p>
            <w:pPr>
              <w:spacing w:after="40"/>
            </w:pPr>
            <w:r>
              <w:rPr>
                <w:sz w:val="18"/>
              </w:rPr>
              <w:t>Spike S-05 corpus check; document the YGOPRODeck-compatible rule</w:t>
            </w:r>
          </w:p>
        </w:tc>
        <w:tc>
          <w:tcPr>
            <w:tcW w:type="dxa" w:w="1152"/>
            <w:vAlign w:val="top"/>
          </w:tcPr>
          <w:p>
            <w:pPr>
              <w:spacing w:after="40"/>
            </w:pPr>
            <w:r>
              <w:rPr>
                <w:sz w:val="18"/>
              </w:rPr>
              <w:t>Developer</w:t>
            </w:r>
          </w:p>
        </w:tc>
      </w:tr>
      <w:tr>
        <w:tc>
          <w:tcPr>
            <w:tcW w:type="dxa" w:w="720"/>
            <w:vAlign w:val="top"/>
          </w:tcPr>
          <w:p>
            <w:pPr>
              <w:spacing w:after="40"/>
            </w:pPr>
            <w:r>
              <w:rPr>
                <w:sz w:val="18"/>
              </w:rPr>
              <w:t>R-06</w:t>
            </w:r>
          </w:p>
        </w:tc>
        <w:tc>
          <w:tcPr>
            <w:tcW w:type="dxa" w:w="2448"/>
            <w:vAlign w:val="top"/>
          </w:tcPr>
          <w:p>
            <w:pPr>
              <w:spacing w:after="40"/>
            </w:pPr>
            <w:r>
              <w:rPr>
                <w:sz w:val="18"/>
              </w:rPr>
              <w:t>YGOPRODeck rate limits, schema drift, or ToS change break refresh</w:t>
            </w:r>
          </w:p>
        </w:tc>
        <w:tc>
          <w:tcPr>
            <w:tcW w:type="dxa" w:w="1152"/>
            <w:vAlign w:val="top"/>
          </w:tcPr>
          <w:p>
            <w:pPr>
              <w:spacing w:after="40"/>
            </w:pPr>
            <w:r>
              <w:rPr>
                <w:sz w:val="18"/>
              </w:rPr>
              <w:t>Medium</w:t>
            </w:r>
          </w:p>
        </w:tc>
        <w:tc>
          <w:tcPr>
            <w:tcW w:type="dxa" w:w="1008"/>
            <w:vAlign w:val="top"/>
          </w:tcPr>
          <w:p>
            <w:pPr>
              <w:spacing w:after="40"/>
            </w:pPr>
            <w:r>
              <w:rPr>
                <w:sz w:val="18"/>
              </w:rPr>
              <w:t>High</w:t>
            </w:r>
          </w:p>
        </w:tc>
        <w:tc>
          <w:tcPr>
            <w:tcW w:type="dxa" w:w="2880"/>
            <w:vAlign w:val="top"/>
          </w:tcPr>
          <w:p>
            <w:pPr>
              <w:spacing w:after="40"/>
            </w:pPr>
            <w:r>
              <w:rPr>
                <w:sz w:val="18"/>
              </w:rPr>
              <w:t>Respect User-Agent and caching; schema tests fail closed (NFR-08)</w:t>
            </w:r>
          </w:p>
        </w:tc>
        <w:tc>
          <w:tcPr>
            <w:tcW w:type="dxa" w:w="1152"/>
            <w:vAlign w:val="top"/>
          </w:tcPr>
          <w:p>
            <w:pPr>
              <w:spacing w:after="40"/>
            </w:pPr>
            <w:r>
              <w:rPr>
                <w:sz w:val="18"/>
              </w:rPr>
              <w:t>Developer</w:t>
            </w:r>
          </w:p>
        </w:tc>
      </w:tr>
      <w:tr>
        <w:tc>
          <w:tcPr>
            <w:tcW w:type="dxa" w:w="720"/>
            <w:vAlign w:val="top"/>
          </w:tcPr>
          <w:p>
            <w:pPr>
              <w:spacing w:after="40"/>
            </w:pPr>
            <w:r>
              <w:rPr>
                <w:sz w:val="18"/>
              </w:rPr>
              <w:t>R-07</w:t>
            </w:r>
          </w:p>
        </w:tc>
        <w:tc>
          <w:tcPr>
            <w:tcW w:type="dxa" w:w="2448"/>
            <w:vAlign w:val="top"/>
          </w:tcPr>
          <w:p>
            <w:pPr>
              <w:spacing w:after="40"/>
            </w:pPr>
            <w:r>
              <w:rPr>
                <w:sz w:val="18"/>
              </w:rPr>
              <w:t>GitHub Pages + Supabase auth redirect or CSP misconfiguration</w:t>
            </w:r>
          </w:p>
        </w:tc>
        <w:tc>
          <w:tcPr>
            <w:tcW w:type="dxa" w:w="1152"/>
            <w:vAlign w:val="top"/>
          </w:tcPr>
          <w:p>
            <w:pPr>
              <w:spacing w:after="40"/>
            </w:pPr>
            <w:r>
              <w:rPr>
                <w:sz w:val="18"/>
              </w:rPr>
              <w:t>Medium</w:t>
            </w:r>
          </w:p>
        </w:tc>
        <w:tc>
          <w:tcPr>
            <w:tcW w:type="dxa" w:w="1008"/>
            <w:vAlign w:val="top"/>
          </w:tcPr>
          <w:p>
            <w:pPr>
              <w:spacing w:after="40"/>
            </w:pPr>
            <w:r>
              <w:rPr>
                <w:sz w:val="18"/>
              </w:rPr>
              <w:t>High</w:t>
            </w:r>
          </w:p>
        </w:tc>
        <w:tc>
          <w:tcPr>
            <w:tcW w:type="dxa" w:w="2880"/>
            <w:vAlign w:val="top"/>
          </w:tcPr>
          <w:p>
            <w:pPr>
              <w:spacing w:after="40"/>
            </w:pPr>
            <w:r>
              <w:rPr>
                <w:sz w:val="18"/>
              </w:rPr>
              <w:t>Prove sign-in on the real /otcp/ origin in S-02</w:t>
            </w:r>
          </w:p>
        </w:tc>
        <w:tc>
          <w:tcPr>
            <w:tcW w:type="dxa" w:w="1152"/>
            <w:vAlign w:val="top"/>
          </w:tcPr>
          <w:p>
            <w:pPr>
              <w:spacing w:after="40"/>
            </w:pPr>
            <w:r>
              <w:rPr>
                <w:sz w:val="18"/>
              </w:rPr>
              <w:t>Developer</w:t>
            </w:r>
          </w:p>
        </w:tc>
      </w:tr>
      <w:tr>
        <w:tc>
          <w:tcPr>
            <w:tcW w:type="dxa" w:w="720"/>
            <w:vAlign w:val="top"/>
          </w:tcPr>
          <w:p>
            <w:pPr>
              <w:spacing w:after="40"/>
            </w:pPr>
            <w:r>
              <w:rPr>
                <w:sz w:val="18"/>
              </w:rPr>
              <w:t>R-08</w:t>
            </w:r>
          </w:p>
        </w:tc>
        <w:tc>
          <w:tcPr>
            <w:tcW w:type="dxa" w:w="2448"/>
            <w:vAlign w:val="top"/>
          </w:tcPr>
          <w:p>
            <w:pPr>
              <w:spacing w:after="40"/>
            </w:pPr>
            <w:r>
              <w:rPr>
                <w:sz w:val="18"/>
              </w:rPr>
              <w:t>Share tokens are too short or leaked in Referer headers</w:t>
            </w:r>
          </w:p>
        </w:tc>
        <w:tc>
          <w:tcPr>
            <w:tcW w:type="dxa" w:w="1152"/>
            <w:vAlign w:val="top"/>
          </w:tcPr>
          <w:p>
            <w:pPr>
              <w:spacing w:after="40"/>
            </w:pPr>
            <w:r>
              <w:rPr>
                <w:sz w:val="18"/>
              </w:rPr>
              <w:t>Low</w:t>
            </w:r>
          </w:p>
        </w:tc>
        <w:tc>
          <w:tcPr>
            <w:tcW w:type="dxa" w:w="1008"/>
            <w:vAlign w:val="top"/>
          </w:tcPr>
          <w:p>
            <w:pPr>
              <w:spacing w:after="40"/>
            </w:pPr>
            <w:r>
              <w:rPr>
                <w:sz w:val="18"/>
              </w:rPr>
              <w:t>High</w:t>
            </w:r>
          </w:p>
        </w:tc>
        <w:tc>
          <w:tcPr>
            <w:tcW w:type="dxa" w:w="2880"/>
            <w:vAlign w:val="top"/>
          </w:tcPr>
          <w:p>
            <w:pPr>
              <w:spacing w:after="40"/>
            </w:pPr>
            <w:r>
              <w:rPr>
                <w:sz w:val="18"/>
              </w:rPr>
              <w:t>≥128-bit entropy; hash-only storage; Referrer-Policy on share routes; no token in third-party URLs</w:t>
            </w:r>
          </w:p>
        </w:tc>
        <w:tc>
          <w:tcPr>
            <w:tcW w:type="dxa" w:w="1152"/>
            <w:vAlign w:val="top"/>
          </w:tcPr>
          <w:p>
            <w:pPr>
              <w:spacing w:after="40"/>
            </w:pPr>
            <w:r>
              <w:rPr>
                <w:sz w:val="18"/>
              </w:rPr>
              <w:t>Developer</w:t>
            </w:r>
          </w:p>
        </w:tc>
      </w:tr>
    </w:tbl>
    <w:p>
      <w:pPr>
        <w:spacing w:after="40"/>
      </w:pPr>
    </w:p>
    <w:p>
      <w:pPr>
        <w:pStyle w:val="Heading1"/>
      </w:pPr>
      <w:r>
        <w:t>9. Technology stack</w:t>
      </w:r>
    </w:p>
    <w:tbl>
      <w:tblPr>
        <w:tblStyle w:val="TableGrid"/>
        <w:tblW w:type="auto" w:w="0"/>
        <w:tblLayout w:type="fixed"/>
        <w:tblLook w:firstColumn="1" w:firstRow="1" w:lastColumn="0" w:lastRow="0" w:noHBand="0" w:noVBand="1" w:val="04A0"/>
      </w:tblPr>
      <w:tblGrid>
        <w:gridCol w:w="1440"/>
        <w:gridCol w:w="2304"/>
        <w:gridCol w:w="1440"/>
        <w:gridCol w:w="2448"/>
        <w:gridCol w:w="1728"/>
      </w:tblGrid>
      <w:tr>
        <w:trPr>
          <w:tblHeader w:val="true"/>
        </w:trPr>
        <w:tc>
          <w:tcPr>
            <w:tcW w:type="dxa" w:w="1440"/>
            <w:shd w:val="clear" w:color="auto" w:fill="D9E2F3"/>
          </w:tcPr>
          <w:p>
            <w:r/>
            <w:r>
              <w:rPr>
                <w:b/>
                <w:sz w:val="18"/>
              </w:rPr>
              <w:t>Layer</w:t>
            </w:r>
          </w:p>
        </w:tc>
        <w:tc>
          <w:tcPr>
            <w:tcW w:type="dxa" w:w="2304"/>
            <w:shd w:val="clear" w:color="auto" w:fill="D9E2F3"/>
          </w:tcPr>
          <w:p>
            <w:r/>
            <w:r>
              <w:rPr>
                <w:b/>
                <w:sz w:val="18"/>
              </w:rPr>
              <w:t>Technology</w:t>
            </w:r>
          </w:p>
        </w:tc>
        <w:tc>
          <w:tcPr>
            <w:tcW w:type="dxa" w:w="1440"/>
            <w:shd w:val="clear" w:color="auto" w:fill="D9E2F3"/>
          </w:tcPr>
          <w:p>
            <w:r/>
            <w:r>
              <w:rPr>
                <w:b/>
                <w:sz w:val="18"/>
              </w:rPr>
              <w:t>Version</w:t>
            </w:r>
          </w:p>
        </w:tc>
        <w:tc>
          <w:tcPr>
            <w:tcW w:type="dxa" w:w="2448"/>
            <w:shd w:val="clear" w:color="auto" w:fill="D9E2F3"/>
          </w:tcPr>
          <w:p>
            <w:r/>
            <w:r>
              <w:rPr>
                <w:b/>
                <w:sz w:val="18"/>
              </w:rPr>
              <w:t>Why</w:t>
            </w:r>
          </w:p>
        </w:tc>
        <w:tc>
          <w:tcPr>
            <w:tcW w:type="dxa" w:w="1728"/>
            <w:shd w:val="clear" w:color="auto" w:fill="D9E2F3"/>
          </w:tcPr>
          <w:p>
            <w:r/>
            <w:r>
              <w:rPr>
                <w:b/>
                <w:sz w:val="18"/>
              </w:rPr>
              <w:t>License</w:t>
            </w:r>
          </w:p>
        </w:tc>
      </w:tr>
      <w:tr>
        <w:tc>
          <w:tcPr>
            <w:tcW w:type="dxa" w:w="1440"/>
            <w:vAlign w:val="top"/>
          </w:tcPr>
          <w:p>
            <w:pPr>
              <w:spacing w:after="40"/>
            </w:pPr>
            <w:r>
              <w:rPr>
                <w:sz w:val="18"/>
              </w:rPr>
              <w:t>Build</w:t>
            </w:r>
          </w:p>
        </w:tc>
        <w:tc>
          <w:tcPr>
            <w:tcW w:type="dxa" w:w="2304"/>
            <w:vAlign w:val="top"/>
          </w:tcPr>
          <w:p>
            <w:pPr>
              <w:spacing w:after="40"/>
            </w:pPr>
            <w:r>
              <w:rPr>
                <w:sz w:val="18"/>
              </w:rPr>
              <w:t>Vite</w:t>
            </w:r>
          </w:p>
        </w:tc>
        <w:tc>
          <w:tcPr>
            <w:tcW w:type="dxa" w:w="1440"/>
            <w:vAlign w:val="top"/>
          </w:tcPr>
          <w:p>
            <w:pPr>
              <w:spacing w:after="40"/>
            </w:pPr>
            <w:r>
              <w:rPr>
                <w:sz w:val="18"/>
              </w:rPr>
              <w:t>7 (UNVERIFIED)</w:t>
            </w:r>
          </w:p>
        </w:tc>
        <w:tc>
          <w:tcPr>
            <w:tcW w:type="dxa" w:w="2448"/>
            <w:vAlign w:val="top"/>
          </w:tcPr>
          <w:p>
            <w:pPr>
              <w:spacing w:after="40"/>
            </w:pPr>
            <w:r>
              <w:rPr>
                <w:sz w:val="18"/>
              </w:rPr>
              <w:t>SPA bundling with base /otcp/</w:t>
            </w:r>
          </w:p>
        </w:tc>
        <w:tc>
          <w:tcPr>
            <w:tcW w:type="dxa" w:w="1728"/>
            <w:vAlign w:val="top"/>
          </w:tcPr>
          <w:p>
            <w:pPr>
              <w:spacing w:after="40"/>
            </w:pPr>
            <w:r>
              <w:rPr>
                <w:sz w:val="18"/>
              </w:rPr>
              <w:t>MIT (UNVERIFIED)</w:t>
            </w:r>
          </w:p>
        </w:tc>
      </w:tr>
      <w:tr>
        <w:tc>
          <w:tcPr>
            <w:tcW w:type="dxa" w:w="1440"/>
            <w:vAlign w:val="top"/>
          </w:tcPr>
          <w:p>
            <w:pPr>
              <w:spacing w:after="40"/>
            </w:pPr>
            <w:r>
              <w:rPr>
                <w:sz w:val="18"/>
              </w:rPr>
              <w:t>UI</w:t>
            </w:r>
          </w:p>
        </w:tc>
        <w:tc>
          <w:tcPr>
            <w:tcW w:type="dxa" w:w="2304"/>
            <w:vAlign w:val="top"/>
          </w:tcPr>
          <w:p>
            <w:pPr>
              <w:spacing w:after="40"/>
            </w:pPr>
            <w:r>
              <w:rPr>
                <w:sz w:val="18"/>
              </w:rPr>
              <w:t>React</w:t>
            </w:r>
          </w:p>
        </w:tc>
        <w:tc>
          <w:tcPr>
            <w:tcW w:type="dxa" w:w="1440"/>
            <w:vAlign w:val="top"/>
          </w:tcPr>
          <w:p>
            <w:pPr>
              <w:spacing w:after="40"/>
            </w:pPr>
            <w:r>
              <w:rPr>
                <w:sz w:val="18"/>
              </w:rPr>
              <w:t>19 (UNVERIFIED)</w:t>
            </w:r>
          </w:p>
        </w:tc>
        <w:tc>
          <w:tcPr>
            <w:tcW w:type="dxa" w:w="2448"/>
            <w:vAlign w:val="top"/>
          </w:tcPr>
          <w:p>
            <w:pPr>
              <w:spacing w:after="40"/>
            </w:pPr>
            <w:r>
              <w:rPr>
                <w:sz w:val="18"/>
              </w:rPr>
              <w:t>Component model chosen in ADR-001</w:t>
            </w:r>
          </w:p>
        </w:tc>
        <w:tc>
          <w:tcPr>
            <w:tcW w:type="dxa" w:w="1728"/>
            <w:vAlign w:val="top"/>
          </w:tcPr>
          <w:p>
            <w:pPr>
              <w:spacing w:after="40"/>
            </w:pPr>
            <w:r>
              <w:rPr>
                <w:sz w:val="18"/>
              </w:rPr>
              <w:t>MIT</w:t>
            </w:r>
          </w:p>
        </w:tc>
      </w:tr>
      <w:tr>
        <w:tc>
          <w:tcPr>
            <w:tcW w:type="dxa" w:w="1440"/>
            <w:vAlign w:val="top"/>
          </w:tcPr>
          <w:p>
            <w:pPr>
              <w:spacing w:after="40"/>
            </w:pPr>
            <w:r>
              <w:rPr>
                <w:sz w:val="18"/>
              </w:rPr>
              <w:t>Language</w:t>
            </w:r>
          </w:p>
        </w:tc>
        <w:tc>
          <w:tcPr>
            <w:tcW w:type="dxa" w:w="2304"/>
            <w:vAlign w:val="top"/>
          </w:tcPr>
          <w:p>
            <w:pPr>
              <w:spacing w:after="40"/>
            </w:pPr>
            <w:r>
              <w:rPr>
                <w:sz w:val="18"/>
              </w:rPr>
              <w:t>TypeScript</w:t>
            </w:r>
          </w:p>
        </w:tc>
        <w:tc>
          <w:tcPr>
            <w:tcW w:type="dxa" w:w="1440"/>
            <w:vAlign w:val="top"/>
          </w:tcPr>
          <w:p>
            <w:pPr>
              <w:spacing w:after="40"/>
            </w:pPr>
            <w:r>
              <w:rPr>
                <w:sz w:val="18"/>
              </w:rPr>
              <w:t>UNVERIFIED</w:t>
            </w:r>
          </w:p>
        </w:tc>
        <w:tc>
          <w:tcPr>
            <w:tcW w:type="dxa" w:w="2448"/>
            <w:vAlign w:val="top"/>
          </w:tcPr>
          <w:p>
            <w:pPr>
              <w:spacing w:after="40"/>
            </w:pPr>
            <w:r>
              <w:rPr>
                <w:sz w:val="18"/>
              </w:rPr>
              <w:t>Typed schema and codecs</w:t>
            </w:r>
          </w:p>
        </w:tc>
        <w:tc>
          <w:tcPr>
            <w:tcW w:type="dxa" w:w="1728"/>
            <w:vAlign w:val="top"/>
          </w:tcPr>
          <w:p>
            <w:pPr>
              <w:spacing w:after="40"/>
            </w:pPr>
            <w:r>
              <w:rPr>
                <w:sz w:val="18"/>
              </w:rPr>
              <w:t>Apache-2.0</w:t>
            </w:r>
          </w:p>
        </w:tc>
      </w:tr>
      <w:tr>
        <w:tc>
          <w:tcPr>
            <w:tcW w:type="dxa" w:w="1440"/>
            <w:vAlign w:val="top"/>
          </w:tcPr>
          <w:p>
            <w:pPr>
              <w:spacing w:after="40"/>
            </w:pPr>
            <w:r>
              <w:rPr>
                <w:sz w:val="18"/>
              </w:rPr>
              <w:t>CSS</w:t>
            </w:r>
          </w:p>
        </w:tc>
        <w:tc>
          <w:tcPr>
            <w:tcW w:type="dxa" w:w="2304"/>
            <w:vAlign w:val="top"/>
          </w:tcPr>
          <w:p>
            <w:pPr>
              <w:spacing w:after="40"/>
            </w:pPr>
            <w:r>
              <w:rPr>
                <w:sz w:val="18"/>
              </w:rPr>
              <w:t>Tailwind CSS</w:t>
            </w:r>
          </w:p>
        </w:tc>
        <w:tc>
          <w:tcPr>
            <w:tcW w:type="dxa" w:w="1440"/>
            <w:vAlign w:val="top"/>
          </w:tcPr>
          <w:p>
            <w:pPr>
              <w:spacing w:after="40"/>
            </w:pPr>
            <w:r>
              <w:rPr>
                <w:sz w:val="18"/>
              </w:rPr>
              <w:t>4 (UNVERIFIED)</w:t>
            </w:r>
          </w:p>
        </w:tc>
        <w:tc>
          <w:tcPr>
            <w:tcW w:type="dxa" w:w="2448"/>
            <w:vAlign w:val="top"/>
          </w:tcPr>
          <w:p>
            <w:pPr>
              <w:spacing w:after="40"/>
            </w:pPr>
            <w:r>
              <w:rPr>
                <w:sz w:val="18"/>
              </w:rPr>
              <w:t>Utility styling</w:t>
            </w:r>
          </w:p>
        </w:tc>
        <w:tc>
          <w:tcPr>
            <w:tcW w:type="dxa" w:w="1728"/>
            <w:vAlign w:val="top"/>
          </w:tcPr>
          <w:p>
            <w:pPr>
              <w:spacing w:after="40"/>
            </w:pPr>
            <w:r>
              <w:rPr>
                <w:sz w:val="18"/>
              </w:rPr>
              <w:t>MIT (UNVERIFIED)</w:t>
            </w:r>
          </w:p>
        </w:tc>
      </w:tr>
      <w:tr>
        <w:tc>
          <w:tcPr>
            <w:tcW w:type="dxa" w:w="1440"/>
            <w:vAlign w:val="top"/>
          </w:tcPr>
          <w:p>
            <w:pPr>
              <w:spacing w:after="40"/>
            </w:pPr>
            <w:r>
              <w:rPr>
                <w:sz w:val="18"/>
              </w:rPr>
              <w:t>Unit tests</w:t>
            </w:r>
          </w:p>
        </w:tc>
        <w:tc>
          <w:tcPr>
            <w:tcW w:type="dxa" w:w="2304"/>
            <w:vAlign w:val="top"/>
          </w:tcPr>
          <w:p>
            <w:pPr>
              <w:spacing w:after="40"/>
            </w:pPr>
            <w:r>
              <w:rPr>
                <w:sz w:val="18"/>
              </w:rPr>
              <w:t>Vitest</w:t>
            </w:r>
          </w:p>
        </w:tc>
        <w:tc>
          <w:tcPr>
            <w:tcW w:type="dxa" w:w="1440"/>
            <w:vAlign w:val="top"/>
          </w:tcPr>
          <w:p>
            <w:pPr>
              <w:spacing w:after="40"/>
            </w:pPr>
            <w:r>
              <w:rPr>
                <w:sz w:val="18"/>
              </w:rPr>
              <w:t>UNVERIFIED</w:t>
            </w:r>
          </w:p>
        </w:tc>
        <w:tc>
          <w:tcPr>
            <w:tcW w:type="dxa" w:w="2448"/>
            <w:vAlign w:val="top"/>
          </w:tcPr>
          <w:p>
            <w:pPr>
              <w:spacing w:after="40"/>
            </w:pPr>
            <w:r>
              <w:rPr>
                <w:sz w:val="18"/>
              </w:rPr>
              <w:t>Node-side schema/export tests</w:t>
            </w:r>
          </w:p>
        </w:tc>
        <w:tc>
          <w:tcPr>
            <w:tcW w:type="dxa" w:w="1728"/>
            <w:vAlign w:val="top"/>
          </w:tcPr>
          <w:p>
            <w:pPr>
              <w:spacing w:after="40"/>
            </w:pPr>
            <w:r>
              <w:rPr>
                <w:sz w:val="18"/>
              </w:rPr>
              <w:t>MIT (UNVERIFIED)</w:t>
            </w:r>
          </w:p>
        </w:tc>
      </w:tr>
      <w:tr>
        <w:tc>
          <w:tcPr>
            <w:tcW w:type="dxa" w:w="1440"/>
            <w:vAlign w:val="top"/>
          </w:tcPr>
          <w:p>
            <w:pPr>
              <w:spacing w:after="40"/>
            </w:pPr>
            <w:r>
              <w:rPr>
                <w:sz w:val="18"/>
              </w:rPr>
              <w:t>E2E</w:t>
            </w:r>
          </w:p>
        </w:tc>
        <w:tc>
          <w:tcPr>
            <w:tcW w:type="dxa" w:w="2304"/>
            <w:vAlign w:val="top"/>
          </w:tcPr>
          <w:p>
            <w:pPr>
              <w:spacing w:after="40"/>
            </w:pPr>
            <w:r>
              <w:rPr>
                <w:sz w:val="18"/>
              </w:rPr>
              <w:t>Playwright Chromium-only</w:t>
            </w:r>
          </w:p>
        </w:tc>
        <w:tc>
          <w:tcPr>
            <w:tcW w:type="dxa" w:w="1440"/>
            <w:vAlign w:val="top"/>
          </w:tcPr>
          <w:p>
            <w:pPr>
              <w:spacing w:after="40"/>
            </w:pPr>
            <w:r>
              <w:rPr>
                <w:sz w:val="18"/>
              </w:rPr>
              <w:t>UNVERIFIED</w:t>
            </w:r>
          </w:p>
        </w:tc>
        <w:tc>
          <w:tcPr>
            <w:tcW w:type="dxa" w:w="2448"/>
            <w:vAlign w:val="top"/>
          </w:tcPr>
          <w:p>
            <w:pPr>
              <w:spacing w:after="40"/>
            </w:pPr>
            <w:r>
              <w:rPr>
                <w:sz w:val="18"/>
              </w:rPr>
              <w:t>Smoke UC paths in CI</w:t>
            </w:r>
          </w:p>
        </w:tc>
        <w:tc>
          <w:tcPr>
            <w:tcW w:type="dxa" w:w="1728"/>
            <w:vAlign w:val="top"/>
          </w:tcPr>
          <w:p>
            <w:pPr>
              <w:spacing w:after="40"/>
            </w:pPr>
            <w:r>
              <w:rPr>
                <w:sz w:val="18"/>
              </w:rPr>
              <w:t>Apache-2.0</w:t>
            </w:r>
          </w:p>
        </w:tc>
      </w:tr>
      <w:tr>
        <w:tc>
          <w:tcPr>
            <w:tcW w:type="dxa" w:w="1440"/>
            <w:vAlign w:val="top"/>
          </w:tcPr>
          <w:p>
            <w:pPr>
              <w:spacing w:after="40"/>
            </w:pPr>
            <w:r>
              <w:rPr>
                <w:sz w:val="18"/>
              </w:rPr>
              <w:t>Runtime (CI/local)</w:t>
            </w:r>
          </w:p>
        </w:tc>
        <w:tc>
          <w:tcPr>
            <w:tcW w:type="dxa" w:w="2304"/>
            <w:vAlign w:val="top"/>
          </w:tcPr>
          <w:p>
            <w:pPr>
              <w:spacing w:after="40"/>
            </w:pPr>
            <w:r>
              <w:rPr>
                <w:sz w:val="18"/>
              </w:rPr>
              <w:t>Node.js</w:t>
            </w:r>
          </w:p>
        </w:tc>
        <w:tc>
          <w:tcPr>
            <w:tcW w:type="dxa" w:w="1440"/>
            <w:vAlign w:val="top"/>
          </w:tcPr>
          <w:p>
            <w:pPr>
              <w:spacing w:after="40"/>
            </w:pPr>
            <w:r>
              <w:rPr>
                <w:sz w:val="18"/>
              </w:rPr>
              <w:t>22 pinned</w:t>
            </w:r>
          </w:p>
        </w:tc>
        <w:tc>
          <w:tcPr>
            <w:tcW w:type="dxa" w:w="2448"/>
            <w:vAlign w:val="top"/>
          </w:tcPr>
          <w:p>
            <w:pPr>
              <w:spacing w:after="40"/>
            </w:pPr>
            <w:r>
              <w:rPr>
                <w:sz w:val="18"/>
              </w:rPr>
              <w:t>Engines + Actions setup-node</w:t>
            </w:r>
          </w:p>
        </w:tc>
        <w:tc>
          <w:tcPr>
            <w:tcW w:type="dxa" w:w="1728"/>
            <w:vAlign w:val="top"/>
          </w:tcPr>
          <w:p>
            <w:pPr>
              <w:spacing w:after="40"/>
            </w:pPr>
            <w:r>
              <w:rPr>
                <w:sz w:val="18"/>
              </w:rPr>
              <w:t>MIT</w:t>
            </w:r>
          </w:p>
        </w:tc>
      </w:tr>
      <w:tr>
        <w:tc>
          <w:tcPr>
            <w:tcW w:type="dxa" w:w="1440"/>
            <w:vAlign w:val="top"/>
          </w:tcPr>
          <w:p>
            <w:pPr>
              <w:spacing w:after="40"/>
            </w:pPr>
            <w:r>
              <w:rPr>
                <w:sz w:val="18"/>
              </w:rPr>
              <w:t>Hosting (UI)</w:t>
            </w:r>
          </w:p>
        </w:tc>
        <w:tc>
          <w:tcPr>
            <w:tcW w:type="dxa" w:w="2304"/>
            <w:vAlign w:val="top"/>
          </w:tcPr>
          <w:p>
            <w:pPr>
              <w:spacing w:after="40"/>
            </w:pPr>
            <w:r>
              <w:rPr>
                <w:sz w:val="18"/>
              </w:rPr>
              <w:t>GitHub Pages</w:t>
            </w:r>
          </w:p>
        </w:tc>
        <w:tc>
          <w:tcPr>
            <w:tcW w:type="dxa" w:w="1440"/>
            <w:vAlign w:val="top"/>
          </w:tcPr>
          <w:p>
            <w:pPr>
              <w:spacing w:after="40"/>
            </w:pPr>
            <w:r>
              <w:rPr>
                <w:sz w:val="18"/>
              </w:rPr>
              <w:t>n/a</w:t>
            </w:r>
          </w:p>
        </w:tc>
        <w:tc>
          <w:tcPr>
            <w:tcW w:type="dxa" w:w="2448"/>
            <w:vAlign w:val="top"/>
          </w:tcPr>
          <w:p>
            <w:pPr>
              <w:spacing w:after="40"/>
            </w:pPr>
            <w:r>
              <w:rPr>
                <w:sz w:val="18"/>
              </w:rPr>
              <w:t>Static /otcp/ site</w:t>
            </w:r>
          </w:p>
        </w:tc>
        <w:tc>
          <w:tcPr>
            <w:tcW w:type="dxa" w:w="1728"/>
            <w:vAlign w:val="top"/>
          </w:tcPr>
          <w:p>
            <w:pPr>
              <w:spacing w:after="40"/>
            </w:pPr>
            <w:r>
              <w:rPr>
                <w:sz w:val="18"/>
              </w:rPr>
              <w:t>n/a</w:t>
            </w:r>
          </w:p>
        </w:tc>
      </w:tr>
      <w:tr>
        <w:tc>
          <w:tcPr>
            <w:tcW w:type="dxa" w:w="1440"/>
            <w:vAlign w:val="top"/>
          </w:tcPr>
          <w:p>
            <w:pPr>
              <w:spacing w:after="40"/>
            </w:pPr>
            <w:r>
              <w:rPr>
                <w:sz w:val="18"/>
              </w:rPr>
              <w:t>Auth + DB</w:t>
            </w:r>
          </w:p>
        </w:tc>
        <w:tc>
          <w:tcPr>
            <w:tcW w:type="dxa" w:w="2304"/>
            <w:vAlign w:val="top"/>
          </w:tcPr>
          <w:p>
            <w:pPr>
              <w:spacing w:after="40"/>
            </w:pPr>
            <w:r>
              <w:rPr>
                <w:sz w:val="18"/>
              </w:rPr>
              <w:t>Supabase</w:t>
            </w:r>
          </w:p>
        </w:tc>
        <w:tc>
          <w:tcPr>
            <w:tcW w:type="dxa" w:w="1440"/>
            <w:vAlign w:val="top"/>
          </w:tcPr>
          <w:p>
            <w:pPr>
              <w:spacing w:after="40"/>
            </w:pPr>
            <w:r>
              <w:rPr>
                <w:sz w:val="18"/>
              </w:rPr>
              <w:t>free tier UNVERIFIED</w:t>
            </w:r>
          </w:p>
        </w:tc>
        <w:tc>
          <w:tcPr>
            <w:tcW w:type="dxa" w:w="2448"/>
            <w:vAlign w:val="top"/>
          </w:tcPr>
          <w:p>
            <w:pPr>
              <w:spacing w:after="40"/>
            </w:pPr>
            <w:r>
              <w:rPr>
                <w:sz w:val="18"/>
              </w:rPr>
              <w:t>Email/password, Google, decks, shares</w:t>
            </w:r>
          </w:p>
        </w:tc>
        <w:tc>
          <w:tcPr>
            <w:tcW w:type="dxa" w:w="1728"/>
            <w:vAlign w:val="top"/>
          </w:tcPr>
          <w:p>
            <w:pPr>
              <w:spacing w:after="40"/>
            </w:pPr>
            <w:r>
              <w:rPr>
                <w:sz w:val="18"/>
              </w:rPr>
              <w:t>Apache-2.0 (client)</w:t>
            </w:r>
          </w:p>
        </w:tc>
      </w:tr>
      <w:tr>
        <w:tc>
          <w:tcPr>
            <w:tcW w:type="dxa" w:w="1440"/>
            <w:vAlign w:val="top"/>
          </w:tcPr>
          <w:p>
            <w:pPr>
              <w:spacing w:after="40"/>
            </w:pPr>
            <w:r>
              <w:rPr>
                <w:sz w:val="18"/>
              </w:rPr>
              <w:t>Upstream cards</w:t>
            </w:r>
          </w:p>
        </w:tc>
        <w:tc>
          <w:tcPr>
            <w:tcW w:type="dxa" w:w="2304"/>
            <w:vAlign w:val="top"/>
          </w:tcPr>
          <w:p>
            <w:pPr>
              <w:spacing w:after="40"/>
            </w:pPr>
            <w:r>
              <w:rPr>
                <w:sz w:val="18"/>
              </w:rPr>
              <w:t>YGOPRODeck API</w:t>
            </w:r>
          </w:p>
        </w:tc>
        <w:tc>
          <w:tcPr>
            <w:tcW w:type="dxa" w:w="1440"/>
            <w:vAlign w:val="top"/>
          </w:tcPr>
          <w:p>
            <w:pPr>
              <w:spacing w:after="40"/>
            </w:pPr>
            <w:r>
              <w:rPr>
                <w:sz w:val="18"/>
              </w:rPr>
              <w:t>v7 fields used</w:t>
            </w:r>
          </w:p>
        </w:tc>
        <w:tc>
          <w:tcPr>
            <w:tcW w:type="dxa" w:w="2448"/>
            <w:vAlign w:val="top"/>
          </w:tcPr>
          <w:p>
            <w:pPr>
              <w:spacing w:after="40"/>
            </w:pPr>
            <w:r>
              <w:rPr>
                <w:sz w:val="18"/>
              </w:rPr>
              <w:t>Build-time ingest only</w:t>
            </w:r>
          </w:p>
        </w:tc>
        <w:tc>
          <w:tcPr>
            <w:tcW w:type="dxa" w:w="1728"/>
            <w:vAlign w:val="top"/>
          </w:tcPr>
          <w:p>
            <w:pPr>
              <w:spacing w:after="40"/>
            </w:pPr>
            <w:r>
              <w:rPr>
                <w:sz w:val="18"/>
              </w:rPr>
              <w:t>Upstream ToS</w:t>
            </w:r>
          </w:p>
        </w:tc>
      </w:tr>
      <w:tr>
        <w:tc>
          <w:tcPr>
            <w:tcW w:type="dxa" w:w="1440"/>
            <w:vAlign w:val="top"/>
          </w:tcPr>
          <w:p>
            <w:pPr>
              <w:spacing w:after="40"/>
            </w:pPr>
            <w:r>
              <w:rPr>
                <w:sz w:val="18"/>
              </w:rPr>
              <w:t>Routing</w:t>
            </w:r>
          </w:p>
        </w:tc>
        <w:tc>
          <w:tcPr>
            <w:tcW w:type="dxa" w:w="2304"/>
            <w:vAlign w:val="top"/>
          </w:tcPr>
          <w:p>
            <w:pPr>
              <w:spacing w:after="40"/>
            </w:pPr>
            <w:r>
              <w:rPr>
                <w:sz w:val="18"/>
              </w:rPr>
              <w:t>React Router BrowserRouter</w:t>
            </w:r>
          </w:p>
        </w:tc>
        <w:tc>
          <w:tcPr>
            <w:tcW w:type="dxa" w:w="1440"/>
            <w:vAlign w:val="top"/>
          </w:tcPr>
          <w:p>
            <w:pPr>
              <w:spacing w:after="40"/>
            </w:pPr>
            <w:r>
              <w:rPr>
                <w:sz w:val="18"/>
              </w:rPr>
              <w:t>UNVERIFIED</w:t>
            </w:r>
          </w:p>
        </w:tc>
        <w:tc>
          <w:tcPr>
            <w:tcW w:type="dxa" w:w="2448"/>
            <w:vAlign w:val="top"/>
          </w:tcPr>
          <w:p>
            <w:pPr>
              <w:spacing w:after="40"/>
            </w:pPr>
            <w:r>
              <w:rPr>
                <w:sz w:val="18"/>
              </w:rPr>
              <w:t>404.html fallback for Pages</w:t>
            </w:r>
          </w:p>
        </w:tc>
        <w:tc>
          <w:tcPr>
            <w:tcW w:type="dxa" w:w="1728"/>
            <w:vAlign w:val="top"/>
          </w:tcPr>
          <w:p>
            <w:pPr>
              <w:spacing w:after="40"/>
            </w:pPr>
            <w:r>
              <w:rPr>
                <w:sz w:val="18"/>
              </w:rPr>
              <w:t>MIT</w:t>
            </w:r>
          </w:p>
        </w:tc>
      </w:tr>
    </w:tbl>
    <w:p>
      <w:pPr>
        <w:spacing w:after="40"/>
      </w:pPr>
    </w:p>
    <w:p>
      <w:r>
        <w:rPr>
          <w:b/>
          <w:color w:val="B00000"/>
        </w:rPr>
        <w:t xml:space="preserve">UNVERIFIED: </w:t>
      </w:r>
      <w:r>
        <w:t>Versions and licenses marked UNVERIFIED. Confirm after the spikes below.</w:t>
      </w:r>
    </w:p>
    <w:p>
      <w:pPr>
        <w:pStyle w:val="Heading2"/>
      </w:pPr>
      <w:r>
        <w:t>9.1 Spikes</w:t>
      </w:r>
    </w:p>
    <w:tbl>
      <w:tblPr>
        <w:tblStyle w:val="TableGrid"/>
        <w:tblW w:type="auto" w:w="0"/>
        <w:tblLayout w:type="fixed"/>
        <w:tblLook w:firstColumn="1" w:firstRow="1" w:lastColumn="0" w:lastRow="0" w:noHBand="0" w:noVBand="1" w:val="04A0"/>
      </w:tblPr>
      <w:tblGrid>
        <w:gridCol w:w="864"/>
        <w:gridCol w:w="6336"/>
        <w:gridCol w:w="2160"/>
      </w:tblGrid>
      <w:tr>
        <w:trPr>
          <w:tblHeader w:val="true"/>
        </w:trPr>
        <w:tc>
          <w:tcPr>
            <w:tcW w:type="dxa" w:w="864"/>
            <w:shd w:val="clear" w:color="auto" w:fill="D9E2F3"/>
          </w:tcPr>
          <w:p>
            <w:r/>
            <w:r>
              <w:rPr>
                <w:b/>
                <w:sz w:val="19"/>
              </w:rPr>
              <w:t>Spike</w:t>
            </w:r>
          </w:p>
        </w:tc>
        <w:tc>
          <w:tcPr>
            <w:tcW w:type="dxa" w:w="6336"/>
            <w:shd w:val="clear" w:color="auto" w:fill="D9E2F3"/>
          </w:tcPr>
          <w:p>
            <w:r/>
            <w:r>
              <w:rPr>
                <w:b/>
                <w:sz w:val="19"/>
              </w:rPr>
              <w:t>Question</w:t>
            </w:r>
          </w:p>
        </w:tc>
        <w:tc>
          <w:tcPr>
            <w:tcW w:type="dxa" w:w="2160"/>
            <w:shd w:val="clear" w:color="auto" w:fill="D9E2F3"/>
          </w:tcPr>
          <w:p>
            <w:r/>
            <w:r>
              <w:rPr>
                <w:b/>
                <w:sz w:val="19"/>
              </w:rPr>
              <w:t>Settles</w:t>
            </w:r>
          </w:p>
        </w:tc>
      </w:tr>
      <w:tr>
        <w:tc>
          <w:tcPr>
            <w:tcW w:type="dxa" w:w="864"/>
            <w:vAlign w:val="top"/>
          </w:tcPr>
          <w:p>
            <w:pPr>
              <w:spacing w:after="40"/>
            </w:pPr>
            <w:r>
              <w:rPr>
                <w:sz w:val="19"/>
              </w:rPr>
              <w:t>S-01</w:t>
            </w:r>
          </w:p>
        </w:tc>
        <w:tc>
          <w:tcPr>
            <w:tcW w:type="dxa" w:w="6336"/>
            <w:vAlign w:val="top"/>
          </w:tcPr>
          <w:p>
            <w:pPr>
              <w:spacing w:after="40"/>
            </w:pPr>
            <w:r>
              <w:rPr>
                <w:sz w:val="19"/>
              </w:rPr>
              <w:t>Measure typed-search and facet-count refresh latency on the reference phone with the proposed client index + bitsets; confirm name search under 100 ms after load and record whether full on-screen facet recount also stays under 100 ms (lazy off-screen groups allowed per ADR-012). If it fails, try worker / precomputed index / virtualization / lazy data before changing the UI library.</w:t>
            </w:r>
          </w:p>
        </w:tc>
        <w:tc>
          <w:tcPr>
            <w:tcW w:type="dxa" w:w="2160"/>
            <w:vAlign w:val="top"/>
          </w:tcPr>
          <w:p>
            <w:pPr>
              <w:spacing w:after="40"/>
            </w:pPr>
            <w:r>
              <w:rPr>
                <w:sz w:val="19"/>
              </w:rPr>
              <w:t>QS-01, R-01, ADR-009, ADR-012, ADR-001</w:t>
            </w:r>
          </w:p>
        </w:tc>
      </w:tr>
      <w:tr>
        <w:tc>
          <w:tcPr>
            <w:tcW w:type="dxa" w:w="864"/>
            <w:vAlign w:val="top"/>
          </w:tcPr>
          <w:p>
            <w:pPr>
              <w:spacing w:after="40"/>
            </w:pPr>
            <w:r>
              <w:rPr>
                <w:sz w:val="19"/>
              </w:rPr>
              <w:t>S-02</w:t>
            </w:r>
          </w:p>
        </w:tc>
        <w:tc>
          <w:tcPr>
            <w:tcW w:type="dxa" w:w="6336"/>
            <w:vAlign w:val="top"/>
          </w:tcPr>
          <w:p>
            <w:pPr>
              <w:spacing w:after="40"/>
            </w:pPr>
            <w:r>
              <w:rPr>
                <w:sz w:val="19"/>
              </w:rPr>
              <w:t>Create a Supabase free-tier project; prove email and Google sign-in from the Pages /otcp/ origin with the documented CSP; note plan limits for rows, auth MAU, and storage.</w:t>
            </w:r>
          </w:p>
        </w:tc>
        <w:tc>
          <w:tcPr>
            <w:tcW w:type="dxa" w:w="2160"/>
            <w:vAlign w:val="top"/>
          </w:tcPr>
          <w:p>
            <w:pPr>
              <w:spacing w:after="40"/>
            </w:pPr>
            <w:r>
              <w:rPr>
                <w:sz w:val="19"/>
              </w:rPr>
              <w:t>ADR-006, R-02, R-07</w:t>
            </w:r>
          </w:p>
        </w:tc>
      </w:tr>
      <w:tr>
        <w:tc>
          <w:tcPr>
            <w:tcW w:type="dxa" w:w="864"/>
            <w:vAlign w:val="top"/>
          </w:tcPr>
          <w:p>
            <w:pPr>
              <w:spacing w:after="40"/>
            </w:pPr>
            <w:r>
              <w:rPr>
                <w:sz w:val="19"/>
              </w:rPr>
              <w:t>S-03</w:t>
            </w:r>
          </w:p>
        </w:tc>
        <w:tc>
          <w:tcPr>
            <w:tcW w:type="dxa" w:w="6336"/>
            <w:vAlign w:val="top"/>
          </w:tcPr>
          <w:p>
            <w:pPr>
              <w:spacing w:after="40"/>
            </w:pPr>
            <w:r>
              <w:rPr>
                <w:sz w:val="19"/>
              </w:rPr>
              <w:t>Assemble Goat, HAT, and Tengu banlist snapshots from cited sources; list gaps and disputed cards.</w:t>
            </w:r>
          </w:p>
        </w:tc>
        <w:tc>
          <w:tcPr>
            <w:tcW w:type="dxa" w:w="2160"/>
            <w:vAlign w:val="top"/>
          </w:tcPr>
          <w:p>
            <w:pPr>
              <w:spacing w:after="40"/>
            </w:pPr>
            <w:r>
              <w:rPr>
                <w:sz w:val="19"/>
              </w:rPr>
              <w:t>ADR-004, R-03</w:t>
            </w:r>
          </w:p>
        </w:tc>
      </w:tr>
      <w:tr>
        <w:tc>
          <w:tcPr>
            <w:tcW w:type="dxa" w:w="864"/>
            <w:vAlign w:val="top"/>
          </w:tcPr>
          <w:p>
            <w:pPr>
              <w:spacing w:after="40"/>
            </w:pPr>
            <w:r>
              <w:rPr>
                <w:sz w:val="19"/>
              </w:rPr>
              <w:t>S-04</w:t>
            </w:r>
          </w:p>
        </w:tc>
        <w:tc>
          <w:tcPr>
            <w:tcW w:type="dxa" w:w="6336"/>
            <w:vAlign w:val="top"/>
          </w:tcPr>
          <w:p>
            <w:pPr>
              <w:spacing w:after="40"/>
            </w:pPr>
            <w:r>
              <w:rPr>
                <w:sz w:val="19"/>
              </w:rPr>
              <w:t>Run an npm license scan on the PR #1 lockfile; list any non-permissive licenses for the Notices page.</w:t>
            </w:r>
          </w:p>
        </w:tc>
        <w:tc>
          <w:tcPr>
            <w:tcW w:type="dxa" w:w="2160"/>
            <w:vAlign w:val="top"/>
          </w:tcPr>
          <w:p>
            <w:pPr>
              <w:spacing w:after="40"/>
            </w:pPr>
            <w:r>
              <w:rPr>
                <w:sz w:val="19"/>
              </w:rPr>
              <w:t>NFR-18, R-04</w:t>
            </w:r>
          </w:p>
        </w:tc>
      </w:tr>
      <w:tr>
        <w:tc>
          <w:tcPr>
            <w:tcW w:type="dxa" w:w="864"/>
            <w:vAlign w:val="top"/>
          </w:tcPr>
          <w:p>
            <w:pPr>
              <w:spacing w:after="40"/>
            </w:pPr>
            <w:r>
              <w:rPr>
                <w:sz w:val="19"/>
              </w:rPr>
              <w:t>S-05</w:t>
            </w:r>
          </w:p>
        </w:tc>
        <w:tc>
          <w:tcPr>
            <w:tcW w:type="dxa" w:w="6336"/>
            <w:vAlign w:val="top"/>
          </w:tcPr>
          <w:p>
            <w:pPr>
              <w:spacing w:after="40"/>
            </w:pPr>
            <w:r>
              <w:rPr>
                <w:sz w:val="19"/>
              </w:rPr>
              <w:t>Sample many public Speed Duel YDK files and confirm Skill ids appear under #main as in YGOPRODeck downloadYDK.</w:t>
            </w:r>
          </w:p>
        </w:tc>
        <w:tc>
          <w:tcPr>
            <w:tcW w:type="dxa" w:w="2160"/>
            <w:vAlign w:val="top"/>
          </w:tcPr>
          <w:p>
            <w:pPr>
              <w:spacing w:after="40"/>
            </w:pPr>
            <w:r>
              <w:rPr>
                <w:sz w:val="19"/>
              </w:rPr>
              <w:t>ADR-010, R-05</w:t>
            </w:r>
          </w:p>
        </w:tc>
      </w:tr>
    </w:tbl>
    <w:p>
      <w:pPr>
        <w:spacing w:after="40"/>
      </w:pPr>
    </w:p>
    <w:p>
      <w:pPr>
        <w:pStyle w:val="Heading2"/>
      </w:pPr>
      <w:r>
        <w:t>9.2 UNVERIFIED list</w:t>
      </w:r>
    </w:p>
    <w:p>
      <w:pPr>
        <w:pStyle w:val="ListBullet"/>
        <w:spacing w:after="60"/>
      </w:pPr>
      <w:r>
        <w:t>Vite 7 + Tailwind 4 exact APIs and bundle size on the reference phone (ADR-001); React 19 is fixed (owner decision).</w:t>
      </w:r>
    </w:p>
    <w:p>
      <w:pPr>
        <w:pStyle w:val="ListBullet"/>
        <w:spacing w:after="60"/>
      </w:pPr>
      <w:r>
        <w:t>Client search and on-screen facet-count refresh under 100 ms on the reference phone (ADR-009, ADR-012, S-01).</w:t>
      </w:r>
    </w:p>
    <w:p>
      <w:pPr>
        <w:pStyle w:val="ListBullet"/>
        <w:spacing w:after="60"/>
      </w:pPr>
      <w:r>
        <w:t>Supabase free-tier MAU, row, and storage headroom for expected use (ADR-006, S-02).</w:t>
      </w:r>
    </w:p>
    <w:p>
      <w:pPr>
        <w:pStyle w:val="ListBullet"/>
        <w:spacing w:after="60"/>
      </w:pPr>
      <w:r>
        <w:t>Goat / HAT / Tengu banlist completeness (ADR-004, S-03).</w:t>
      </w:r>
    </w:p>
    <w:p>
      <w:pPr>
        <w:pStyle w:val="ListBullet"/>
        <w:spacing w:after="60"/>
      </w:pPr>
      <w:r>
        <w:t>npm dependency licenses for the Notices page (NFR-18, S-04).</w:t>
      </w:r>
    </w:p>
    <w:p>
      <w:pPr>
        <w:pStyle w:val="ListBullet"/>
        <w:spacing w:after="60"/>
      </w:pPr>
      <w:r>
        <w:t>Skill-card placement across a large Speed Duel YDK corpus (ADR-010, S-05).</w:t>
      </w:r>
    </w:p>
    <w:p>
      <w:pPr>
        <w:pStyle w:val="ListBullet"/>
        <w:spacing w:after="60"/>
      </w:pPr>
      <w:r>
        <w:t>Playwright Chromium-only sufficiency vs Safari/WebKit issues (NFR-16).</w:t>
      </w:r>
    </w:p>
    <w:p>
      <w:pPr>
        <w:pStyle w:val="ListBullet"/>
        <w:spacing w:after="60"/>
      </w:pPr>
      <w:r>
        <w:t>GitHub Pages artifact size with re-hosted card images at full set scale (ADR-003).</w:t>
      </w:r>
    </w:p>
    <w:p>
      <w:pPr>
        <w:pStyle w:val="Heading1"/>
        <w:pageBreakBefore/>
      </w:pPr>
      <w:r>
        <w:t>10. Traceability</w:t>
      </w:r>
    </w:p>
    <w:p>
      <w:r>
        <w:t>Every Must FR maps to at least one component. Package-wide requirements map to build and release.</w:t>
      </w:r>
    </w:p>
    <w:tbl>
      <w:tblPr>
        <w:tblStyle w:val="TableGrid"/>
        <w:tblW w:type="auto" w:w="0"/>
        <w:tblLayout w:type="fixed"/>
        <w:tblLook w:firstColumn="1" w:firstRow="1" w:lastColumn="0" w:lastRow="0" w:noHBand="0" w:noVBand="1" w:val="04A0"/>
      </w:tblPr>
      <w:tblGrid>
        <w:gridCol w:w="1440"/>
        <w:gridCol w:w="1152"/>
        <w:gridCol w:w="3456"/>
        <w:gridCol w:w="1728"/>
        <w:gridCol w:w="1584"/>
      </w:tblGrid>
      <w:tr>
        <w:trPr>
          <w:tblHeader w:val="true"/>
        </w:trPr>
        <w:tc>
          <w:tcPr>
            <w:tcW w:type="dxa" w:w="1440"/>
            <w:shd w:val="clear" w:color="auto" w:fill="D9E2F3"/>
          </w:tcPr>
          <w:p>
            <w:r/>
            <w:r>
              <w:rPr>
                <w:b/>
                <w:sz w:val="18"/>
              </w:rPr>
              <w:t>Requirement</w:t>
            </w:r>
          </w:p>
        </w:tc>
        <w:tc>
          <w:tcPr>
            <w:tcW w:type="dxa" w:w="1152"/>
            <w:shd w:val="clear" w:color="auto" w:fill="D9E2F3"/>
          </w:tcPr>
          <w:p>
            <w:r/>
            <w:r>
              <w:rPr>
                <w:b/>
                <w:sz w:val="18"/>
              </w:rPr>
              <w:t>Priority</w:t>
            </w:r>
          </w:p>
        </w:tc>
        <w:tc>
          <w:tcPr>
            <w:tcW w:type="dxa" w:w="3456"/>
            <w:shd w:val="clear" w:color="auto" w:fill="D9E2F3"/>
          </w:tcPr>
          <w:p>
            <w:r/>
            <w:r>
              <w:rPr>
                <w:b/>
                <w:sz w:val="18"/>
              </w:rPr>
              <w:t>Component</w:t>
            </w:r>
          </w:p>
        </w:tc>
        <w:tc>
          <w:tcPr>
            <w:tcW w:type="dxa" w:w="1728"/>
            <w:shd w:val="clear" w:color="auto" w:fill="D9E2F3"/>
          </w:tcPr>
          <w:p>
            <w:r/>
            <w:r>
              <w:rPr>
                <w:b/>
                <w:sz w:val="18"/>
              </w:rPr>
              <w:t>ADR</w:t>
            </w:r>
          </w:p>
        </w:tc>
        <w:tc>
          <w:tcPr>
            <w:tcW w:type="dxa" w:w="1584"/>
            <w:shd w:val="clear" w:color="auto" w:fill="D9E2F3"/>
          </w:tcPr>
          <w:p>
            <w:r/>
            <w:r>
              <w:rPr>
                <w:b/>
                <w:sz w:val="18"/>
              </w:rPr>
              <w:t>Verification</w:t>
            </w:r>
          </w:p>
        </w:tc>
      </w:tr>
      <w:tr>
        <w:tc>
          <w:tcPr>
            <w:tcW w:type="dxa" w:w="1440"/>
            <w:vAlign w:val="top"/>
          </w:tcPr>
          <w:p>
            <w:pPr>
              <w:spacing w:after="40"/>
            </w:pPr>
            <w:r>
              <w:rPr>
                <w:sz w:val="18"/>
              </w:rPr>
              <w:t>FR-01</w:t>
            </w:r>
          </w:p>
        </w:tc>
        <w:tc>
          <w:tcPr>
            <w:tcW w:type="dxa" w:w="1152"/>
            <w:vAlign w:val="top"/>
          </w:tcPr>
          <w:p>
            <w:pPr>
              <w:spacing w:after="40"/>
            </w:pPr>
            <w:r>
              <w:rPr>
                <w:sz w:val="18"/>
              </w:rPr>
              <w:t>Must</w:t>
            </w:r>
          </w:p>
        </w:tc>
        <w:tc>
          <w:tcPr>
            <w:tcW w:type="dxa" w:w="3456"/>
            <w:vAlign w:val="top"/>
          </w:tcPr>
          <w:p>
            <w:pPr>
              <w:spacing w:after="40"/>
            </w:pPr>
            <w:r>
              <w:rPr>
                <w:sz w:val="18"/>
              </w:rPr>
              <w:t>SearchIndex</w:t>
            </w:r>
          </w:p>
        </w:tc>
        <w:tc>
          <w:tcPr>
            <w:tcW w:type="dxa" w:w="1728"/>
            <w:vAlign w:val="top"/>
          </w:tcPr>
          <w:p>
            <w:pPr>
              <w:spacing w:after="40"/>
            </w:pPr>
            <w:r>
              <w:rPr>
                <w:sz w:val="18"/>
              </w:rPr>
              <w:t>ADR-009</w:t>
            </w:r>
          </w:p>
        </w:tc>
        <w:tc>
          <w:tcPr>
            <w:tcW w:type="dxa" w:w="1584"/>
            <w:vAlign w:val="top"/>
          </w:tcPr>
          <w:p>
            <w:pPr>
              <w:spacing w:after="40"/>
            </w:pPr>
            <w:r>
              <w:rPr>
                <w:sz w:val="18"/>
              </w:rPr>
              <w:t>Test</w:t>
            </w:r>
          </w:p>
        </w:tc>
      </w:tr>
      <w:tr>
        <w:tc>
          <w:tcPr>
            <w:tcW w:type="dxa" w:w="1440"/>
            <w:vAlign w:val="top"/>
          </w:tcPr>
          <w:p>
            <w:pPr>
              <w:spacing w:after="40"/>
            </w:pPr>
            <w:r>
              <w:rPr>
                <w:sz w:val="18"/>
              </w:rPr>
              <w:t>FR-02</w:t>
            </w:r>
          </w:p>
        </w:tc>
        <w:tc>
          <w:tcPr>
            <w:tcW w:type="dxa" w:w="1152"/>
            <w:vAlign w:val="top"/>
          </w:tcPr>
          <w:p>
            <w:pPr>
              <w:spacing w:after="40"/>
            </w:pPr>
            <w:r>
              <w:rPr>
                <w:sz w:val="18"/>
              </w:rPr>
              <w:t>Must</w:t>
            </w:r>
          </w:p>
        </w:tc>
        <w:tc>
          <w:tcPr>
            <w:tcW w:type="dxa" w:w="3456"/>
            <w:vAlign w:val="top"/>
          </w:tcPr>
          <w:p>
            <w:pPr>
              <w:spacing w:after="40"/>
            </w:pPr>
            <w:r>
              <w:rPr>
                <w:sz w:val="18"/>
              </w:rPr>
              <w:t>SearchIndex</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FR-03</w:t>
            </w:r>
          </w:p>
        </w:tc>
        <w:tc>
          <w:tcPr>
            <w:tcW w:type="dxa" w:w="1152"/>
            <w:vAlign w:val="top"/>
          </w:tcPr>
          <w:p>
            <w:pPr>
              <w:spacing w:after="40"/>
            </w:pPr>
            <w:r>
              <w:rPr>
                <w:sz w:val="18"/>
              </w:rPr>
              <w:t>Must</w:t>
            </w:r>
          </w:p>
        </w:tc>
        <w:tc>
          <w:tcPr>
            <w:tcW w:type="dxa" w:w="3456"/>
            <w:vAlign w:val="top"/>
          </w:tcPr>
          <w:p>
            <w:pPr>
              <w:spacing w:after="40"/>
            </w:pPr>
            <w:r>
              <w:rPr>
                <w:sz w:val="18"/>
              </w:rPr>
              <w:t>SearchIndex</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FR-04</w:t>
            </w:r>
          </w:p>
        </w:tc>
        <w:tc>
          <w:tcPr>
            <w:tcW w:type="dxa" w:w="1152"/>
            <w:vAlign w:val="top"/>
          </w:tcPr>
          <w:p>
            <w:pPr>
              <w:spacing w:after="40"/>
            </w:pPr>
            <w:r>
              <w:rPr>
                <w:sz w:val="18"/>
              </w:rPr>
              <w:t>Must</w:t>
            </w:r>
          </w:p>
        </w:tc>
        <w:tc>
          <w:tcPr>
            <w:tcW w:type="dxa" w:w="3456"/>
            <w:vAlign w:val="top"/>
          </w:tcPr>
          <w:p>
            <w:pPr>
              <w:spacing w:after="40"/>
            </w:pPr>
            <w:r>
              <w:rPr>
                <w:sz w:val="18"/>
              </w:rPr>
              <w:t>FilterEngine, CardCatalog</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FR-05</w:t>
            </w:r>
          </w:p>
        </w:tc>
        <w:tc>
          <w:tcPr>
            <w:tcW w:type="dxa" w:w="1152"/>
            <w:vAlign w:val="top"/>
          </w:tcPr>
          <w:p>
            <w:pPr>
              <w:spacing w:after="40"/>
            </w:pPr>
            <w:r>
              <w:rPr>
                <w:sz w:val="18"/>
              </w:rPr>
              <w:t>Must</w:t>
            </w:r>
          </w:p>
        </w:tc>
        <w:tc>
          <w:tcPr>
            <w:tcW w:type="dxa" w:w="3456"/>
            <w:vAlign w:val="top"/>
          </w:tcPr>
          <w:p>
            <w:pPr>
              <w:spacing w:after="40"/>
            </w:pPr>
            <w:r>
              <w:rPr>
                <w:sz w:val="18"/>
              </w:rPr>
              <w:t>FilterEngine, CardCatalog</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FR-56</w:t>
            </w:r>
          </w:p>
        </w:tc>
        <w:tc>
          <w:tcPr>
            <w:tcW w:type="dxa" w:w="1152"/>
            <w:vAlign w:val="top"/>
          </w:tcPr>
          <w:p>
            <w:pPr>
              <w:spacing w:after="40"/>
            </w:pPr>
            <w:r>
              <w:rPr>
                <w:sz w:val="18"/>
              </w:rPr>
              <w:t>Must</w:t>
            </w:r>
          </w:p>
        </w:tc>
        <w:tc>
          <w:tcPr>
            <w:tcW w:type="dxa" w:w="3456"/>
            <w:vAlign w:val="top"/>
          </w:tcPr>
          <w:p>
            <w:pPr>
              <w:spacing w:after="40"/>
            </w:pPr>
            <w:r>
              <w:rPr>
                <w:sz w:val="18"/>
              </w:rPr>
              <w:t>FilterEngine, CardCatalog</w:t>
            </w:r>
          </w:p>
        </w:tc>
        <w:tc>
          <w:tcPr>
            <w:tcW w:type="dxa" w:w="1728"/>
            <w:vAlign w:val="top"/>
          </w:tcPr>
          <w:p>
            <w:pPr>
              <w:spacing w:after="40"/>
            </w:pPr>
            <w:r>
              <w:rPr>
                <w:sz w:val="18"/>
              </w:rPr>
              <w:t>ADR-012</w:t>
            </w:r>
          </w:p>
        </w:tc>
        <w:tc>
          <w:tcPr>
            <w:tcW w:type="dxa" w:w="1584"/>
            <w:vAlign w:val="top"/>
          </w:tcPr>
          <w:p>
            <w:pPr>
              <w:spacing w:after="40"/>
            </w:pPr>
            <w:r>
              <w:rPr>
                <w:sz w:val="18"/>
              </w:rPr>
              <w:t>Inspection</w:t>
            </w:r>
          </w:p>
        </w:tc>
      </w:tr>
      <w:tr>
        <w:tc>
          <w:tcPr>
            <w:tcW w:type="dxa" w:w="1440"/>
            <w:vAlign w:val="top"/>
          </w:tcPr>
          <w:p>
            <w:pPr>
              <w:spacing w:after="40"/>
            </w:pPr>
            <w:r>
              <w:rPr>
                <w:sz w:val="18"/>
              </w:rPr>
              <w:t>FR-57</w:t>
            </w:r>
          </w:p>
        </w:tc>
        <w:tc>
          <w:tcPr>
            <w:tcW w:type="dxa" w:w="1152"/>
            <w:vAlign w:val="top"/>
          </w:tcPr>
          <w:p>
            <w:pPr>
              <w:spacing w:after="40"/>
            </w:pPr>
            <w:r>
              <w:rPr>
                <w:sz w:val="18"/>
              </w:rPr>
              <w:t>Must</w:t>
            </w:r>
          </w:p>
        </w:tc>
        <w:tc>
          <w:tcPr>
            <w:tcW w:type="dxa" w:w="3456"/>
            <w:vAlign w:val="top"/>
          </w:tcPr>
          <w:p>
            <w:pPr>
              <w:spacing w:after="40"/>
            </w:pPr>
            <w:r>
              <w:rPr>
                <w:sz w:val="18"/>
              </w:rPr>
              <w:t>SearchIndex, FilterEngine</w:t>
            </w:r>
          </w:p>
        </w:tc>
        <w:tc>
          <w:tcPr>
            <w:tcW w:type="dxa" w:w="1728"/>
            <w:vAlign w:val="top"/>
          </w:tcPr>
          <w:p>
            <w:pPr>
              <w:spacing w:after="40"/>
            </w:pPr>
            <w:r>
              <w:rPr>
                <w:sz w:val="18"/>
              </w:rPr>
              <w:t>ADR-012</w:t>
            </w:r>
          </w:p>
        </w:tc>
        <w:tc>
          <w:tcPr>
            <w:tcW w:type="dxa" w:w="1584"/>
            <w:vAlign w:val="top"/>
          </w:tcPr>
          <w:p>
            <w:pPr>
              <w:spacing w:after="40"/>
            </w:pPr>
            <w:r>
              <w:rPr>
                <w:sz w:val="18"/>
              </w:rPr>
              <w:t>Test</w:t>
            </w:r>
          </w:p>
        </w:tc>
      </w:tr>
      <w:tr>
        <w:tc>
          <w:tcPr>
            <w:tcW w:type="dxa" w:w="1440"/>
            <w:vAlign w:val="top"/>
          </w:tcPr>
          <w:p>
            <w:pPr>
              <w:spacing w:after="40"/>
            </w:pPr>
            <w:r>
              <w:rPr>
                <w:sz w:val="18"/>
              </w:rPr>
              <w:t>FR-58</w:t>
            </w:r>
          </w:p>
        </w:tc>
        <w:tc>
          <w:tcPr>
            <w:tcW w:type="dxa" w:w="1152"/>
            <w:vAlign w:val="top"/>
          </w:tcPr>
          <w:p>
            <w:pPr>
              <w:spacing w:after="40"/>
            </w:pPr>
            <w:r>
              <w:rPr>
                <w:sz w:val="18"/>
              </w:rPr>
              <w:t>Must</w:t>
            </w:r>
          </w:p>
        </w:tc>
        <w:tc>
          <w:tcPr>
            <w:tcW w:type="dxa" w:w="3456"/>
            <w:vAlign w:val="top"/>
          </w:tcPr>
          <w:p>
            <w:pPr>
              <w:spacing w:after="40"/>
            </w:pPr>
            <w:r>
              <w:rPr>
                <w:sz w:val="18"/>
              </w:rPr>
              <w:t>FilterEngine</w:t>
            </w:r>
          </w:p>
        </w:tc>
        <w:tc>
          <w:tcPr>
            <w:tcW w:type="dxa" w:w="1728"/>
            <w:vAlign w:val="top"/>
          </w:tcPr>
          <w:p>
            <w:pPr>
              <w:spacing w:after="40"/>
            </w:pPr>
            <w:r>
              <w:rPr>
                <w:sz w:val="18"/>
              </w:rPr>
              <w:t>ADR-012</w:t>
            </w:r>
          </w:p>
        </w:tc>
        <w:tc>
          <w:tcPr>
            <w:tcW w:type="dxa" w:w="1584"/>
            <w:vAlign w:val="top"/>
          </w:tcPr>
          <w:p>
            <w:pPr>
              <w:spacing w:after="40"/>
            </w:pPr>
            <w:r>
              <w:rPr>
                <w:sz w:val="18"/>
              </w:rPr>
              <w:t>Test</w:t>
            </w:r>
          </w:p>
        </w:tc>
      </w:tr>
      <w:tr>
        <w:tc>
          <w:tcPr>
            <w:tcW w:type="dxa" w:w="1440"/>
            <w:vAlign w:val="top"/>
          </w:tcPr>
          <w:p>
            <w:pPr>
              <w:spacing w:after="40"/>
            </w:pPr>
            <w:r>
              <w:rPr>
                <w:sz w:val="18"/>
              </w:rPr>
              <w:t>FR-59</w:t>
            </w:r>
          </w:p>
        </w:tc>
        <w:tc>
          <w:tcPr>
            <w:tcW w:type="dxa" w:w="1152"/>
            <w:vAlign w:val="top"/>
          </w:tcPr>
          <w:p>
            <w:pPr>
              <w:spacing w:after="40"/>
            </w:pPr>
            <w:r>
              <w:rPr>
                <w:sz w:val="18"/>
              </w:rPr>
              <w:t>Should</w:t>
            </w:r>
          </w:p>
        </w:tc>
        <w:tc>
          <w:tcPr>
            <w:tcW w:type="dxa" w:w="3456"/>
            <w:vAlign w:val="top"/>
          </w:tcPr>
          <w:p>
            <w:pPr>
              <w:spacing w:after="40"/>
            </w:pPr>
            <w:r>
              <w:rPr>
                <w:sz w:val="18"/>
              </w:rPr>
              <w:t>FilterEngine</w:t>
            </w:r>
          </w:p>
        </w:tc>
        <w:tc>
          <w:tcPr>
            <w:tcW w:type="dxa" w:w="1728"/>
            <w:vAlign w:val="top"/>
          </w:tcPr>
          <w:p>
            <w:pPr>
              <w:spacing w:after="40"/>
            </w:pPr>
            <w:r>
              <w:rPr>
                <w:sz w:val="18"/>
              </w:rPr>
              <w:t>ADR-012</w:t>
            </w:r>
          </w:p>
        </w:tc>
        <w:tc>
          <w:tcPr>
            <w:tcW w:type="dxa" w:w="1584"/>
            <w:vAlign w:val="top"/>
          </w:tcPr>
          <w:p>
            <w:pPr>
              <w:spacing w:after="40"/>
            </w:pPr>
            <w:r>
              <w:rPr>
                <w:sz w:val="18"/>
              </w:rPr>
              <w:t>Test</w:t>
            </w:r>
          </w:p>
        </w:tc>
      </w:tr>
      <w:tr>
        <w:tc>
          <w:tcPr>
            <w:tcW w:type="dxa" w:w="1440"/>
            <w:vAlign w:val="top"/>
          </w:tcPr>
          <w:p>
            <w:pPr>
              <w:spacing w:after="40"/>
            </w:pPr>
            <w:r>
              <w:rPr>
                <w:sz w:val="18"/>
              </w:rPr>
              <w:t>FR-06</w:t>
            </w:r>
          </w:p>
        </w:tc>
        <w:tc>
          <w:tcPr>
            <w:tcW w:type="dxa" w:w="1152"/>
            <w:vAlign w:val="top"/>
          </w:tcPr>
          <w:p>
            <w:pPr>
              <w:spacing w:after="40"/>
            </w:pPr>
            <w:r>
              <w:rPr>
                <w:sz w:val="18"/>
              </w:rPr>
              <w:t>Must</w:t>
            </w:r>
          </w:p>
        </w:tc>
        <w:tc>
          <w:tcPr>
            <w:tcW w:type="dxa" w:w="3456"/>
            <w:vAlign w:val="top"/>
          </w:tcPr>
          <w:p>
            <w:pPr>
              <w:spacing w:after="40"/>
            </w:pPr>
            <w:r>
              <w:rPr>
                <w:sz w:val="18"/>
              </w:rPr>
              <w:t>AppShell, CardCatalog, DataTable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FR-07</w:t>
            </w:r>
          </w:p>
        </w:tc>
        <w:tc>
          <w:tcPr>
            <w:tcW w:type="dxa" w:w="1152"/>
            <w:vAlign w:val="top"/>
          </w:tcPr>
          <w:p>
            <w:pPr>
              <w:spacing w:after="40"/>
            </w:pPr>
            <w:r>
              <w:rPr>
                <w:sz w:val="18"/>
              </w:rPr>
              <w:t>Must</w:t>
            </w:r>
          </w:p>
        </w:tc>
        <w:tc>
          <w:tcPr>
            <w:tcW w:type="dxa" w:w="3456"/>
            <w:vAlign w:val="top"/>
          </w:tcPr>
          <w:p>
            <w:pPr>
              <w:spacing w:after="40"/>
            </w:pPr>
            <w:r>
              <w:rPr>
                <w:sz w:val="18"/>
              </w:rPr>
              <w:t>CardCatalog, DataTable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FR-08</w:t>
            </w:r>
          </w:p>
        </w:tc>
        <w:tc>
          <w:tcPr>
            <w:tcW w:type="dxa" w:w="1152"/>
            <w:vAlign w:val="top"/>
          </w:tcPr>
          <w:p>
            <w:pPr>
              <w:spacing w:after="40"/>
            </w:pPr>
            <w:r>
              <w:rPr>
                <w:sz w:val="18"/>
              </w:rPr>
              <w:t>Must</w:t>
            </w:r>
          </w:p>
        </w:tc>
        <w:tc>
          <w:tcPr>
            <w:tcW w:type="dxa" w:w="3456"/>
            <w:vAlign w:val="top"/>
          </w:tcPr>
          <w:p>
            <w:pPr>
              <w:spacing w:after="40"/>
            </w:pPr>
            <w:r>
              <w:rPr>
                <w:sz w:val="18"/>
              </w:rPr>
              <w:t>CardCatalog, DataTable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FR-72</w:t>
            </w:r>
          </w:p>
        </w:tc>
        <w:tc>
          <w:tcPr>
            <w:tcW w:type="dxa" w:w="1152"/>
            <w:vAlign w:val="top"/>
          </w:tcPr>
          <w:p>
            <w:pPr>
              <w:spacing w:after="40"/>
            </w:pPr>
            <w:r>
              <w:rPr>
                <w:sz w:val="18"/>
              </w:rPr>
              <w:t>Must</w:t>
            </w:r>
          </w:p>
        </w:tc>
        <w:tc>
          <w:tcPr>
            <w:tcW w:type="dxa" w:w="3456"/>
            <w:vAlign w:val="top"/>
          </w:tcPr>
          <w:p>
            <w:pPr>
              <w:spacing w:after="40"/>
            </w:pPr>
            <w:r>
              <w:rPr>
                <w:sz w:val="18"/>
              </w:rPr>
              <w:t>CardCatalog, DataTable</w:t>
            </w:r>
          </w:p>
        </w:tc>
        <w:tc>
          <w:tcPr>
            <w:tcW w:type="dxa" w:w="1728"/>
            <w:vAlign w:val="top"/>
          </w:tcPr>
          <w:p>
            <w:pPr>
              <w:spacing w:after="40"/>
            </w:pPr>
            <w:r>
              <w:rPr>
                <w:sz w:val="18"/>
              </w:rPr>
              <w:t>ADR-013</w:t>
            </w:r>
          </w:p>
        </w:tc>
        <w:tc>
          <w:tcPr>
            <w:tcW w:type="dxa" w:w="1584"/>
            <w:vAlign w:val="top"/>
          </w:tcPr>
          <w:p>
            <w:pPr>
              <w:spacing w:after="40"/>
            </w:pPr>
            <w:r>
              <w:rPr>
                <w:sz w:val="18"/>
              </w:rPr>
              <w:t>Demo</w:t>
            </w:r>
          </w:p>
        </w:tc>
      </w:tr>
      <w:tr>
        <w:tc>
          <w:tcPr>
            <w:tcW w:type="dxa" w:w="1440"/>
            <w:vAlign w:val="top"/>
          </w:tcPr>
          <w:p>
            <w:pPr>
              <w:spacing w:after="40"/>
            </w:pPr>
            <w:r>
              <w:rPr>
                <w:sz w:val="18"/>
              </w:rPr>
              <w:t>FR-73</w:t>
            </w:r>
          </w:p>
        </w:tc>
        <w:tc>
          <w:tcPr>
            <w:tcW w:type="dxa" w:w="1152"/>
            <w:vAlign w:val="top"/>
          </w:tcPr>
          <w:p>
            <w:pPr>
              <w:spacing w:after="40"/>
            </w:pPr>
            <w:r>
              <w:rPr>
                <w:sz w:val="18"/>
              </w:rPr>
              <w:t>Must</w:t>
            </w:r>
          </w:p>
        </w:tc>
        <w:tc>
          <w:tcPr>
            <w:tcW w:type="dxa" w:w="3456"/>
            <w:vAlign w:val="top"/>
          </w:tcPr>
          <w:p>
            <w:pPr>
              <w:spacing w:after="40"/>
            </w:pPr>
            <w:r>
              <w:rPr>
                <w:sz w:val="18"/>
              </w:rPr>
              <w:t>CardCatalog, DataTable</w:t>
            </w:r>
          </w:p>
        </w:tc>
        <w:tc>
          <w:tcPr>
            <w:tcW w:type="dxa" w:w="1728"/>
            <w:vAlign w:val="top"/>
          </w:tcPr>
          <w:p>
            <w:pPr>
              <w:spacing w:after="40"/>
            </w:pPr>
            <w:r>
              <w:rPr>
                <w:sz w:val="18"/>
              </w:rPr>
              <w:t>ADR-013</w:t>
            </w:r>
          </w:p>
        </w:tc>
        <w:tc>
          <w:tcPr>
            <w:tcW w:type="dxa" w:w="1584"/>
            <w:vAlign w:val="top"/>
          </w:tcPr>
          <w:p>
            <w:pPr>
              <w:spacing w:after="40"/>
            </w:pPr>
            <w:r>
              <w:rPr>
                <w:sz w:val="18"/>
              </w:rPr>
              <w:t>Demo</w:t>
            </w:r>
          </w:p>
        </w:tc>
      </w:tr>
      <w:tr>
        <w:tc>
          <w:tcPr>
            <w:tcW w:type="dxa" w:w="1440"/>
            <w:vAlign w:val="top"/>
          </w:tcPr>
          <w:p>
            <w:pPr>
              <w:spacing w:after="40"/>
            </w:pPr>
            <w:r>
              <w:rPr>
                <w:sz w:val="18"/>
              </w:rPr>
              <w:t>FR-74</w:t>
            </w:r>
          </w:p>
        </w:tc>
        <w:tc>
          <w:tcPr>
            <w:tcW w:type="dxa" w:w="1152"/>
            <w:vAlign w:val="top"/>
          </w:tcPr>
          <w:p>
            <w:pPr>
              <w:spacing w:after="40"/>
            </w:pPr>
            <w:r>
              <w:rPr>
                <w:sz w:val="18"/>
              </w:rPr>
              <w:t>Must</w:t>
            </w:r>
          </w:p>
        </w:tc>
        <w:tc>
          <w:tcPr>
            <w:tcW w:type="dxa" w:w="3456"/>
            <w:vAlign w:val="top"/>
          </w:tcPr>
          <w:p>
            <w:pPr>
              <w:spacing w:after="40"/>
            </w:pPr>
            <w:r>
              <w:rPr>
                <w:sz w:val="18"/>
              </w:rPr>
              <w:t>DataTable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FR-75</w:t>
            </w:r>
          </w:p>
        </w:tc>
        <w:tc>
          <w:tcPr>
            <w:tcW w:type="dxa" w:w="1152"/>
            <w:vAlign w:val="top"/>
          </w:tcPr>
          <w:p>
            <w:pPr>
              <w:spacing w:after="40"/>
            </w:pPr>
            <w:r>
              <w:rPr>
                <w:sz w:val="18"/>
              </w:rPr>
              <w:t>Must</w:t>
            </w:r>
          </w:p>
        </w:tc>
        <w:tc>
          <w:tcPr>
            <w:tcW w:type="dxa" w:w="3456"/>
            <w:vAlign w:val="top"/>
          </w:tcPr>
          <w:p>
            <w:pPr>
              <w:spacing w:after="40"/>
            </w:pPr>
            <w:r>
              <w:rPr>
                <w:sz w:val="18"/>
              </w:rPr>
              <w:t>ValueSummary, DataTable, DeckBuilder, WantListStore, CollectionStore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FR-76</w:t>
            </w:r>
          </w:p>
        </w:tc>
        <w:tc>
          <w:tcPr>
            <w:tcW w:type="dxa" w:w="1152"/>
            <w:vAlign w:val="top"/>
          </w:tcPr>
          <w:p>
            <w:pPr>
              <w:spacing w:after="40"/>
            </w:pPr>
            <w:r>
              <w:rPr>
                <w:sz w:val="18"/>
              </w:rPr>
              <w:t>Must</w:t>
            </w:r>
          </w:p>
        </w:tc>
        <w:tc>
          <w:tcPr>
            <w:tcW w:type="dxa" w:w="3456"/>
            <w:vAlign w:val="top"/>
          </w:tcPr>
          <w:p>
            <w:pPr>
              <w:spacing w:after="40"/>
            </w:pPr>
            <w:r>
              <w:rPr>
                <w:sz w:val="18"/>
              </w:rPr>
              <w:t>ValueSummary, DeckBuilder, WantListStore, CollectionStore</w:t>
            </w:r>
          </w:p>
        </w:tc>
        <w:tc>
          <w:tcPr>
            <w:tcW w:type="dxa" w:w="1728"/>
            <w:vAlign w:val="top"/>
          </w:tcPr>
          <w:p>
            <w:pPr>
              <w:spacing w:after="40"/>
            </w:pPr>
            <w:r>
              <w:rPr>
                <w:sz w:val="18"/>
              </w:rPr>
              <w:t>ADR-013</w:t>
            </w:r>
          </w:p>
        </w:tc>
        <w:tc>
          <w:tcPr>
            <w:tcW w:type="dxa" w:w="1584"/>
            <w:vAlign w:val="top"/>
          </w:tcPr>
          <w:p>
            <w:pPr>
              <w:spacing w:after="40"/>
            </w:pPr>
            <w:r>
              <w:rPr>
                <w:sz w:val="18"/>
              </w:rPr>
              <w:t>Demo</w:t>
            </w:r>
          </w:p>
        </w:tc>
      </w:tr>
      <w:tr>
        <w:tc>
          <w:tcPr>
            <w:tcW w:type="dxa" w:w="1440"/>
            <w:vAlign w:val="top"/>
          </w:tcPr>
          <w:p>
            <w:pPr>
              <w:spacing w:after="40"/>
            </w:pPr>
            <w:r>
              <w:rPr>
                <w:sz w:val="18"/>
              </w:rPr>
              <w:t>FR-77</w:t>
            </w:r>
          </w:p>
        </w:tc>
        <w:tc>
          <w:tcPr>
            <w:tcW w:type="dxa" w:w="1152"/>
            <w:vAlign w:val="top"/>
          </w:tcPr>
          <w:p>
            <w:pPr>
              <w:spacing w:after="40"/>
            </w:pPr>
            <w:r>
              <w:rPr>
                <w:sz w:val="18"/>
              </w:rPr>
              <w:t>Must</w:t>
            </w:r>
          </w:p>
        </w:tc>
        <w:tc>
          <w:tcPr>
            <w:tcW w:type="dxa" w:w="3456"/>
            <w:vAlign w:val="top"/>
          </w:tcPr>
          <w:p>
            <w:pPr>
              <w:spacing w:after="40"/>
            </w:pPr>
            <w:r>
              <w:rPr>
                <w:sz w:val="18"/>
              </w:rPr>
              <w:t>DataTable, DeckBuilder, WantListStore, CollectionStore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FR-78</w:t>
            </w:r>
          </w:p>
        </w:tc>
        <w:tc>
          <w:tcPr>
            <w:tcW w:type="dxa" w:w="1152"/>
            <w:vAlign w:val="top"/>
          </w:tcPr>
          <w:p>
            <w:pPr>
              <w:spacing w:after="40"/>
            </w:pPr>
            <w:r>
              <w:rPr>
                <w:sz w:val="18"/>
              </w:rPr>
              <w:t>Must</w:t>
            </w:r>
          </w:p>
        </w:tc>
        <w:tc>
          <w:tcPr>
            <w:tcW w:type="dxa" w:w="3456"/>
            <w:vAlign w:val="top"/>
          </w:tcPr>
          <w:p>
            <w:pPr>
              <w:spacing w:after="40"/>
            </w:pPr>
            <w:r>
              <w:rPr>
                <w:sz w:val="18"/>
              </w:rPr>
              <w:t>ValueSummary, DataTable, DeckBuilder, WantListStore, CollectionStore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FR-09</w:t>
            </w:r>
          </w:p>
        </w:tc>
        <w:tc>
          <w:tcPr>
            <w:tcW w:type="dxa" w:w="1152"/>
            <w:vAlign w:val="top"/>
          </w:tcPr>
          <w:p>
            <w:pPr>
              <w:spacing w:after="40"/>
            </w:pPr>
            <w:r>
              <w:rPr>
                <w:sz w:val="18"/>
              </w:rPr>
              <w:t>Must</w:t>
            </w:r>
          </w:p>
        </w:tc>
        <w:tc>
          <w:tcPr>
            <w:tcW w:type="dxa" w:w="3456"/>
            <w:vAlign w:val="top"/>
          </w:tcPr>
          <w:p>
            <w:pPr>
              <w:spacing w:after="40"/>
            </w:pPr>
            <w:r>
              <w:rPr>
                <w:sz w:val="18"/>
              </w:rPr>
              <w:t>CardCatalog</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FR-10</w:t>
            </w:r>
          </w:p>
        </w:tc>
        <w:tc>
          <w:tcPr>
            <w:tcW w:type="dxa" w:w="1152"/>
            <w:vAlign w:val="top"/>
          </w:tcPr>
          <w:p>
            <w:pPr>
              <w:spacing w:after="40"/>
            </w:pPr>
            <w:r>
              <w:rPr>
                <w:sz w:val="18"/>
              </w:rPr>
              <w:t>Must</w:t>
            </w:r>
          </w:p>
        </w:tc>
        <w:tc>
          <w:tcPr>
            <w:tcW w:type="dxa" w:w="3456"/>
            <w:vAlign w:val="top"/>
          </w:tcPr>
          <w:p>
            <w:pPr>
              <w:spacing w:after="40"/>
            </w:pPr>
            <w:r>
              <w:rPr>
                <w:sz w:val="18"/>
              </w:rPr>
              <w:t>CardCatalog</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FR-11</w:t>
            </w:r>
          </w:p>
        </w:tc>
        <w:tc>
          <w:tcPr>
            <w:tcW w:type="dxa" w:w="1152"/>
            <w:vAlign w:val="top"/>
          </w:tcPr>
          <w:p>
            <w:pPr>
              <w:spacing w:after="40"/>
            </w:pPr>
            <w:r>
              <w:rPr>
                <w:sz w:val="18"/>
              </w:rPr>
              <w:t>Must</w:t>
            </w:r>
          </w:p>
        </w:tc>
        <w:tc>
          <w:tcPr>
            <w:tcW w:type="dxa" w:w="3456"/>
            <w:vAlign w:val="top"/>
          </w:tcPr>
          <w:p>
            <w:pPr>
              <w:spacing w:after="40"/>
            </w:pPr>
            <w:r>
              <w:rPr>
                <w:sz w:val="18"/>
              </w:rPr>
              <w:t>CardCatalog</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FR-12</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ADR-004</w:t>
            </w:r>
          </w:p>
        </w:tc>
        <w:tc>
          <w:tcPr>
            <w:tcW w:type="dxa" w:w="1584"/>
            <w:vAlign w:val="top"/>
          </w:tcPr>
          <w:p>
            <w:pPr>
              <w:spacing w:after="40"/>
            </w:pPr>
            <w:r>
              <w:rPr>
                <w:sz w:val="18"/>
              </w:rPr>
              <w:t>Inspection</w:t>
            </w:r>
          </w:p>
        </w:tc>
      </w:tr>
      <w:tr>
        <w:tc>
          <w:tcPr>
            <w:tcW w:type="dxa" w:w="1440"/>
            <w:vAlign w:val="top"/>
          </w:tcPr>
          <w:p>
            <w:pPr>
              <w:spacing w:after="40"/>
            </w:pPr>
            <w:r>
              <w:rPr>
                <w:sz w:val="18"/>
              </w:rPr>
              <w:t>FR-13</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FR-14</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FR-15</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FR-16</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FR-17</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FR-18</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FR-19</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ADR-005</w:t>
            </w:r>
          </w:p>
        </w:tc>
        <w:tc>
          <w:tcPr>
            <w:tcW w:type="dxa" w:w="1584"/>
            <w:vAlign w:val="top"/>
          </w:tcPr>
          <w:p>
            <w:pPr>
              <w:spacing w:after="40"/>
            </w:pPr>
            <w:r>
              <w:rPr>
                <w:sz w:val="18"/>
              </w:rPr>
              <w:t>Test</w:t>
            </w:r>
          </w:p>
        </w:tc>
      </w:tr>
      <w:tr>
        <w:tc>
          <w:tcPr>
            <w:tcW w:type="dxa" w:w="1440"/>
            <w:vAlign w:val="top"/>
          </w:tcPr>
          <w:p>
            <w:pPr>
              <w:spacing w:after="40"/>
            </w:pPr>
            <w:r>
              <w:rPr>
                <w:sz w:val="18"/>
              </w:rPr>
              <w:t>FR-20</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FR-21</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FR-22</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FR-23</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FR-24</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FR-25</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FR-26</w:t>
            </w:r>
          </w:p>
        </w:tc>
        <w:tc>
          <w:tcPr>
            <w:tcW w:type="dxa" w:w="1152"/>
            <w:vAlign w:val="top"/>
          </w:tcPr>
          <w:p>
            <w:pPr>
              <w:spacing w:after="40"/>
            </w:pPr>
            <w:r>
              <w:rPr>
                <w:sz w:val="18"/>
              </w:rPr>
              <w:t>Must</w:t>
            </w:r>
          </w:p>
        </w:tc>
        <w:tc>
          <w:tcPr>
            <w:tcW w:type="dxa" w:w="3456"/>
            <w:vAlign w:val="top"/>
          </w:tcPr>
          <w:p>
            <w:pPr>
              <w:spacing w:after="40"/>
            </w:pPr>
            <w:r>
              <w:rPr>
                <w:sz w:val="18"/>
              </w:rPr>
              <w:t>FormatEngine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FR-27</w:t>
            </w:r>
          </w:p>
        </w:tc>
        <w:tc>
          <w:tcPr>
            <w:tcW w:type="dxa" w:w="1152"/>
            <w:vAlign w:val="top"/>
          </w:tcPr>
          <w:p>
            <w:pPr>
              <w:spacing w:after="40"/>
            </w:pPr>
            <w:r>
              <w:rPr>
                <w:sz w:val="18"/>
              </w:rPr>
              <w:t>Must</w:t>
            </w:r>
          </w:p>
        </w:tc>
        <w:tc>
          <w:tcPr>
            <w:tcW w:type="dxa" w:w="3456"/>
            <w:vAlign w:val="top"/>
          </w:tcPr>
          <w:p>
            <w:pPr>
              <w:spacing w:after="40"/>
            </w:pPr>
            <w:r>
              <w:rPr>
                <w:sz w:val="18"/>
              </w:rPr>
              <w:t>DeckBuilder</w:t>
            </w:r>
          </w:p>
        </w:tc>
        <w:tc>
          <w:tcPr>
            <w:tcW w:type="dxa" w:w="1728"/>
            <w:vAlign w:val="top"/>
          </w:tcPr>
          <w:p>
            <w:pPr>
              <w:spacing w:after="40"/>
            </w:pPr>
            <w:r>
              <w:rPr>
                <w:sz w:val="18"/>
              </w:rPr>
              <w:t>ADR-006</w:t>
            </w:r>
          </w:p>
        </w:tc>
        <w:tc>
          <w:tcPr>
            <w:tcW w:type="dxa" w:w="1584"/>
            <w:vAlign w:val="top"/>
          </w:tcPr>
          <w:p>
            <w:pPr>
              <w:spacing w:after="40"/>
            </w:pPr>
            <w:r>
              <w:rPr>
                <w:sz w:val="18"/>
              </w:rPr>
              <w:t>Test</w:t>
            </w:r>
          </w:p>
        </w:tc>
      </w:tr>
      <w:tr>
        <w:tc>
          <w:tcPr>
            <w:tcW w:type="dxa" w:w="1440"/>
            <w:vAlign w:val="top"/>
          </w:tcPr>
          <w:p>
            <w:pPr>
              <w:spacing w:after="40"/>
            </w:pPr>
            <w:r>
              <w:rPr>
                <w:sz w:val="18"/>
              </w:rPr>
              <w:t>FR-28</w:t>
            </w:r>
          </w:p>
        </w:tc>
        <w:tc>
          <w:tcPr>
            <w:tcW w:type="dxa" w:w="1152"/>
            <w:vAlign w:val="top"/>
          </w:tcPr>
          <w:p>
            <w:pPr>
              <w:spacing w:after="40"/>
            </w:pPr>
            <w:r>
              <w:rPr>
                <w:sz w:val="18"/>
              </w:rPr>
              <w:t>Must</w:t>
            </w:r>
          </w:p>
        </w:tc>
        <w:tc>
          <w:tcPr>
            <w:tcW w:type="dxa" w:w="3456"/>
            <w:vAlign w:val="top"/>
          </w:tcPr>
          <w:p>
            <w:pPr>
              <w:spacing w:after="40"/>
            </w:pPr>
            <w:r>
              <w:rPr>
                <w:sz w:val="18"/>
              </w:rPr>
              <w:t>ExportCodec</w:t>
            </w:r>
          </w:p>
        </w:tc>
        <w:tc>
          <w:tcPr>
            <w:tcW w:type="dxa" w:w="1728"/>
            <w:vAlign w:val="top"/>
          </w:tcPr>
          <w:p>
            <w:pPr>
              <w:spacing w:after="40"/>
            </w:pPr>
            <w:r>
              <w:rPr>
                <w:sz w:val="18"/>
              </w:rPr>
              <w:t>ADR-010</w:t>
            </w:r>
          </w:p>
        </w:tc>
        <w:tc>
          <w:tcPr>
            <w:tcW w:type="dxa" w:w="1584"/>
            <w:vAlign w:val="top"/>
          </w:tcPr>
          <w:p>
            <w:pPr>
              <w:spacing w:after="40"/>
            </w:pPr>
            <w:r>
              <w:rPr>
                <w:sz w:val="18"/>
              </w:rPr>
              <w:t>Test</w:t>
            </w:r>
          </w:p>
        </w:tc>
      </w:tr>
      <w:tr>
        <w:tc>
          <w:tcPr>
            <w:tcW w:type="dxa" w:w="1440"/>
            <w:vAlign w:val="top"/>
          </w:tcPr>
          <w:p>
            <w:pPr>
              <w:spacing w:after="40"/>
            </w:pPr>
            <w:r>
              <w:rPr>
                <w:sz w:val="18"/>
              </w:rPr>
              <w:t>FR-29</w:t>
            </w:r>
          </w:p>
        </w:tc>
        <w:tc>
          <w:tcPr>
            <w:tcW w:type="dxa" w:w="1152"/>
            <w:vAlign w:val="top"/>
          </w:tcPr>
          <w:p>
            <w:pPr>
              <w:spacing w:after="40"/>
            </w:pPr>
            <w:r>
              <w:rPr>
                <w:sz w:val="18"/>
              </w:rPr>
              <w:t>Must</w:t>
            </w:r>
          </w:p>
        </w:tc>
        <w:tc>
          <w:tcPr>
            <w:tcW w:type="dxa" w:w="3456"/>
            <w:vAlign w:val="top"/>
          </w:tcPr>
          <w:p>
            <w:pPr>
              <w:spacing w:after="40"/>
            </w:pPr>
            <w:r>
              <w:rPr>
                <w:sz w:val="18"/>
              </w:rPr>
              <w:t>ExportCodec</w:t>
            </w:r>
          </w:p>
        </w:tc>
        <w:tc>
          <w:tcPr>
            <w:tcW w:type="dxa" w:w="1728"/>
            <w:vAlign w:val="top"/>
          </w:tcPr>
          <w:p>
            <w:pPr>
              <w:spacing w:after="40"/>
            </w:pPr>
            <w:r>
              <w:rPr>
                <w:sz w:val="18"/>
              </w:rPr>
              <w:t>ADR-010</w:t>
            </w:r>
          </w:p>
        </w:tc>
        <w:tc>
          <w:tcPr>
            <w:tcW w:type="dxa" w:w="1584"/>
            <w:vAlign w:val="top"/>
          </w:tcPr>
          <w:p>
            <w:pPr>
              <w:spacing w:after="40"/>
            </w:pPr>
            <w:r>
              <w:rPr>
                <w:sz w:val="18"/>
              </w:rPr>
              <w:t>Test</w:t>
            </w:r>
          </w:p>
        </w:tc>
      </w:tr>
      <w:tr>
        <w:tc>
          <w:tcPr>
            <w:tcW w:type="dxa" w:w="1440"/>
            <w:vAlign w:val="top"/>
          </w:tcPr>
          <w:p>
            <w:pPr>
              <w:spacing w:after="40"/>
            </w:pPr>
            <w:r>
              <w:rPr>
                <w:sz w:val="18"/>
              </w:rPr>
              <w:t>FR-30</w:t>
            </w:r>
          </w:p>
        </w:tc>
        <w:tc>
          <w:tcPr>
            <w:tcW w:type="dxa" w:w="1152"/>
            <w:vAlign w:val="top"/>
          </w:tcPr>
          <w:p>
            <w:pPr>
              <w:spacing w:after="40"/>
            </w:pPr>
            <w:r>
              <w:rPr>
                <w:sz w:val="18"/>
              </w:rPr>
              <w:t>Should</w:t>
            </w:r>
          </w:p>
        </w:tc>
        <w:tc>
          <w:tcPr>
            <w:tcW w:type="dxa" w:w="3456"/>
            <w:vAlign w:val="top"/>
          </w:tcPr>
          <w:p>
            <w:pPr>
              <w:spacing w:after="40"/>
            </w:pPr>
            <w:r>
              <w:rPr>
                <w:sz w:val="18"/>
              </w:rPr>
              <w:t>ExportCodec</w:t>
            </w:r>
          </w:p>
        </w:tc>
        <w:tc>
          <w:tcPr>
            <w:tcW w:type="dxa" w:w="1728"/>
            <w:vAlign w:val="top"/>
          </w:tcPr>
          <w:p>
            <w:pPr>
              <w:spacing w:after="40"/>
            </w:pPr>
            <w:r>
              <w:rPr>
                <w:sz w:val="18"/>
              </w:rPr>
              <w:t>ADR-010</w:t>
            </w:r>
          </w:p>
        </w:tc>
        <w:tc>
          <w:tcPr>
            <w:tcW w:type="dxa" w:w="1584"/>
            <w:vAlign w:val="top"/>
          </w:tcPr>
          <w:p>
            <w:pPr>
              <w:spacing w:after="40"/>
            </w:pPr>
            <w:r>
              <w:rPr>
                <w:sz w:val="18"/>
              </w:rPr>
              <w:t>Test</w:t>
            </w:r>
          </w:p>
        </w:tc>
      </w:tr>
      <w:tr>
        <w:tc>
          <w:tcPr>
            <w:tcW w:type="dxa" w:w="1440"/>
            <w:vAlign w:val="top"/>
          </w:tcPr>
          <w:p>
            <w:pPr>
              <w:spacing w:after="40"/>
            </w:pPr>
            <w:r>
              <w:rPr>
                <w:sz w:val="18"/>
              </w:rPr>
              <w:t>FR-31</w:t>
            </w:r>
          </w:p>
        </w:tc>
        <w:tc>
          <w:tcPr>
            <w:tcW w:type="dxa" w:w="1152"/>
            <w:vAlign w:val="top"/>
          </w:tcPr>
          <w:p>
            <w:pPr>
              <w:spacing w:after="40"/>
            </w:pPr>
            <w:r>
              <w:rPr>
                <w:sz w:val="18"/>
              </w:rPr>
              <w:t>Must</w:t>
            </w:r>
          </w:p>
        </w:tc>
        <w:tc>
          <w:tcPr>
            <w:tcW w:type="dxa" w:w="3456"/>
            <w:vAlign w:val="top"/>
          </w:tcPr>
          <w:p>
            <w:pPr>
              <w:spacing w:after="40"/>
            </w:pPr>
            <w:r>
              <w:rPr>
                <w:sz w:val="18"/>
              </w:rPr>
              <w:t>ExportCodec</w:t>
            </w:r>
          </w:p>
        </w:tc>
        <w:tc>
          <w:tcPr>
            <w:tcW w:type="dxa" w:w="1728"/>
            <w:vAlign w:val="top"/>
          </w:tcPr>
          <w:p>
            <w:pPr>
              <w:spacing w:after="40"/>
            </w:pPr>
            <w:r>
              <w:rPr>
                <w:sz w:val="18"/>
              </w:rPr>
              <w:t>ADR-010</w:t>
            </w:r>
          </w:p>
        </w:tc>
        <w:tc>
          <w:tcPr>
            <w:tcW w:type="dxa" w:w="1584"/>
            <w:vAlign w:val="top"/>
          </w:tcPr>
          <w:p>
            <w:pPr>
              <w:spacing w:after="40"/>
            </w:pPr>
            <w:r>
              <w:rPr>
                <w:sz w:val="18"/>
              </w:rPr>
              <w:t>Test</w:t>
            </w:r>
          </w:p>
        </w:tc>
      </w:tr>
      <w:tr>
        <w:tc>
          <w:tcPr>
            <w:tcW w:type="dxa" w:w="1440"/>
            <w:vAlign w:val="top"/>
          </w:tcPr>
          <w:p>
            <w:pPr>
              <w:spacing w:after="40"/>
            </w:pPr>
            <w:r>
              <w:rPr>
                <w:sz w:val="18"/>
              </w:rPr>
              <w:t>FR-32</w:t>
            </w:r>
          </w:p>
        </w:tc>
        <w:tc>
          <w:tcPr>
            <w:tcW w:type="dxa" w:w="1152"/>
            <w:vAlign w:val="top"/>
          </w:tcPr>
          <w:p>
            <w:pPr>
              <w:spacing w:after="40"/>
            </w:pPr>
            <w:r>
              <w:rPr>
                <w:sz w:val="18"/>
              </w:rPr>
              <w:t>Must</w:t>
            </w:r>
          </w:p>
        </w:tc>
        <w:tc>
          <w:tcPr>
            <w:tcW w:type="dxa" w:w="3456"/>
            <w:vAlign w:val="top"/>
          </w:tcPr>
          <w:p>
            <w:pPr>
              <w:spacing w:after="40"/>
            </w:pPr>
            <w:r>
              <w:rPr>
                <w:sz w:val="18"/>
              </w:rPr>
              <w:t>AuthClient</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FR-33</w:t>
            </w:r>
          </w:p>
        </w:tc>
        <w:tc>
          <w:tcPr>
            <w:tcW w:type="dxa" w:w="1152"/>
            <w:vAlign w:val="top"/>
          </w:tcPr>
          <w:p>
            <w:pPr>
              <w:spacing w:after="40"/>
            </w:pPr>
            <w:r>
              <w:rPr>
                <w:sz w:val="18"/>
              </w:rPr>
              <w:t>Must</w:t>
            </w:r>
          </w:p>
        </w:tc>
        <w:tc>
          <w:tcPr>
            <w:tcW w:type="dxa" w:w="3456"/>
            <w:vAlign w:val="top"/>
          </w:tcPr>
          <w:p>
            <w:pPr>
              <w:spacing w:after="40"/>
            </w:pPr>
            <w:r>
              <w:rPr>
                <w:sz w:val="18"/>
              </w:rPr>
              <w:t>AuthClient</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FR-34</w:t>
            </w:r>
          </w:p>
        </w:tc>
        <w:tc>
          <w:tcPr>
            <w:tcW w:type="dxa" w:w="1152"/>
            <w:vAlign w:val="top"/>
          </w:tcPr>
          <w:p>
            <w:pPr>
              <w:spacing w:after="40"/>
            </w:pPr>
            <w:r>
              <w:rPr>
                <w:sz w:val="18"/>
              </w:rPr>
              <w:t>Must</w:t>
            </w:r>
          </w:p>
        </w:tc>
        <w:tc>
          <w:tcPr>
            <w:tcW w:type="dxa" w:w="3456"/>
            <w:vAlign w:val="top"/>
          </w:tcPr>
          <w:p>
            <w:pPr>
              <w:spacing w:after="40"/>
            </w:pPr>
            <w:r>
              <w:rPr>
                <w:sz w:val="18"/>
              </w:rPr>
              <w:t>AuthClient</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FR-35</w:t>
            </w:r>
          </w:p>
        </w:tc>
        <w:tc>
          <w:tcPr>
            <w:tcW w:type="dxa" w:w="1152"/>
            <w:vAlign w:val="top"/>
          </w:tcPr>
          <w:p>
            <w:pPr>
              <w:spacing w:after="40"/>
            </w:pPr>
            <w:r>
              <w:rPr>
                <w:sz w:val="18"/>
              </w:rPr>
              <w:t>Must</w:t>
            </w:r>
          </w:p>
        </w:tc>
        <w:tc>
          <w:tcPr>
            <w:tcW w:type="dxa" w:w="3456"/>
            <w:vAlign w:val="top"/>
          </w:tcPr>
          <w:p>
            <w:pPr>
              <w:spacing w:after="40"/>
            </w:pPr>
            <w:r>
              <w:rPr>
                <w:sz w:val="18"/>
              </w:rPr>
              <w:t>AuthClient</w:t>
            </w:r>
          </w:p>
        </w:tc>
        <w:tc>
          <w:tcPr>
            <w:tcW w:type="dxa" w:w="1728"/>
            <w:vAlign w:val="top"/>
          </w:tcPr>
          <w:p>
            <w:pPr>
              <w:spacing w:after="40"/>
            </w:pPr>
            <w:r>
              <w:rPr>
                <w:sz w:val="18"/>
              </w:rPr>
              <w:t>ADR-011</w:t>
            </w:r>
          </w:p>
        </w:tc>
        <w:tc>
          <w:tcPr>
            <w:tcW w:type="dxa" w:w="1584"/>
            <w:vAlign w:val="top"/>
          </w:tcPr>
          <w:p>
            <w:pPr>
              <w:spacing w:after="40"/>
            </w:pPr>
            <w:r>
              <w:rPr>
                <w:sz w:val="18"/>
              </w:rPr>
              <w:t>Test</w:t>
            </w:r>
          </w:p>
        </w:tc>
      </w:tr>
      <w:tr>
        <w:tc>
          <w:tcPr>
            <w:tcW w:type="dxa" w:w="1440"/>
            <w:vAlign w:val="top"/>
          </w:tcPr>
          <w:p>
            <w:pPr>
              <w:spacing w:after="40"/>
            </w:pPr>
            <w:r>
              <w:rPr>
                <w:sz w:val="18"/>
              </w:rPr>
              <w:t>FR-36</w:t>
            </w:r>
          </w:p>
        </w:tc>
        <w:tc>
          <w:tcPr>
            <w:tcW w:type="dxa" w:w="1152"/>
            <w:vAlign w:val="top"/>
          </w:tcPr>
          <w:p>
            <w:pPr>
              <w:spacing w:after="40"/>
            </w:pPr>
            <w:r>
              <w:rPr>
                <w:sz w:val="18"/>
              </w:rPr>
              <w:t>Must</w:t>
            </w:r>
          </w:p>
        </w:tc>
        <w:tc>
          <w:tcPr>
            <w:tcW w:type="dxa" w:w="3456"/>
            <w:vAlign w:val="top"/>
          </w:tcPr>
          <w:p>
            <w:pPr>
              <w:spacing w:after="40"/>
            </w:pPr>
            <w:r>
              <w:rPr>
                <w:sz w:val="18"/>
              </w:rPr>
              <w:t>DeckStore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FR-37</w:t>
            </w:r>
          </w:p>
        </w:tc>
        <w:tc>
          <w:tcPr>
            <w:tcW w:type="dxa" w:w="1152"/>
            <w:vAlign w:val="top"/>
          </w:tcPr>
          <w:p>
            <w:pPr>
              <w:spacing w:after="40"/>
            </w:pPr>
            <w:r>
              <w:rPr>
                <w:sz w:val="18"/>
              </w:rPr>
              <w:t>Must</w:t>
            </w:r>
          </w:p>
        </w:tc>
        <w:tc>
          <w:tcPr>
            <w:tcW w:type="dxa" w:w="3456"/>
            <w:vAlign w:val="top"/>
          </w:tcPr>
          <w:p>
            <w:pPr>
              <w:spacing w:after="40"/>
            </w:pPr>
            <w:r>
              <w:rPr>
                <w:sz w:val="18"/>
              </w:rPr>
              <w:t>DeckStore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FR-38</w:t>
            </w:r>
          </w:p>
        </w:tc>
        <w:tc>
          <w:tcPr>
            <w:tcW w:type="dxa" w:w="1152"/>
            <w:vAlign w:val="top"/>
          </w:tcPr>
          <w:p>
            <w:pPr>
              <w:spacing w:after="40"/>
            </w:pPr>
            <w:r>
              <w:rPr>
                <w:sz w:val="18"/>
              </w:rPr>
              <w:t>Must</w:t>
            </w:r>
          </w:p>
        </w:tc>
        <w:tc>
          <w:tcPr>
            <w:tcW w:type="dxa" w:w="3456"/>
            <w:vAlign w:val="top"/>
          </w:tcPr>
          <w:p>
            <w:pPr>
              <w:spacing w:after="40"/>
            </w:pPr>
            <w:r>
              <w:rPr>
                <w:sz w:val="18"/>
              </w:rPr>
              <w:t>DeckStore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FR-39</w:t>
            </w:r>
          </w:p>
        </w:tc>
        <w:tc>
          <w:tcPr>
            <w:tcW w:type="dxa" w:w="1152"/>
            <w:vAlign w:val="top"/>
          </w:tcPr>
          <w:p>
            <w:pPr>
              <w:spacing w:after="40"/>
            </w:pPr>
            <w:r>
              <w:rPr>
                <w:sz w:val="18"/>
              </w:rPr>
              <w:t>Should</w:t>
            </w:r>
          </w:p>
        </w:tc>
        <w:tc>
          <w:tcPr>
            <w:tcW w:type="dxa" w:w="3456"/>
            <w:vAlign w:val="top"/>
          </w:tcPr>
          <w:p>
            <w:pPr>
              <w:spacing w:after="40"/>
            </w:pPr>
            <w:r>
              <w:rPr>
                <w:sz w:val="18"/>
              </w:rPr>
              <w:t>DeckStore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FR-40</w:t>
            </w:r>
          </w:p>
        </w:tc>
        <w:tc>
          <w:tcPr>
            <w:tcW w:type="dxa" w:w="1152"/>
            <w:vAlign w:val="top"/>
          </w:tcPr>
          <w:p>
            <w:pPr>
              <w:spacing w:after="40"/>
            </w:pPr>
            <w:r>
              <w:rPr>
                <w:sz w:val="18"/>
              </w:rPr>
              <w:t>Must</w:t>
            </w:r>
          </w:p>
        </w:tc>
        <w:tc>
          <w:tcPr>
            <w:tcW w:type="dxa" w:w="3456"/>
            <w:vAlign w:val="top"/>
          </w:tcPr>
          <w:p>
            <w:pPr>
              <w:spacing w:after="40"/>
            </w:pPr>
            <w:r>
              <w:rPr>
                <w:sz w:val="18"/>
              </w:rPr>
              <w:t>DeckStore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FR-41</w:t>
            </w:r>
          </w:p>
        </w:tc>
        <w:tc>
          <w:tcPr>
            <w:tcW w:type="dxa" w:w="1152"/>
            <w:vAlign w:val="top"/>
          </w:tcPr>
          <w:p>
            <w:pPr>
              <w:spacing w:after="40"/>
            </w:pPr>
            <w:r>
              <w:rPr>
                <w:sz w:val="18"/>
              </w:rPr>
              <w:t>Must</w:t>
            </w:r>
          </w:p>
        </w:tc>
        <w:tc>
          <w:tcPr>
            <w:tcW w:type="dxa" w:w="3456"/>
            <w:vAlign w:val="top"/>
          </w:tcPr>
          <w:p>
            <w:pPr>
              <w:spacing w:after="40"/>
            </w:pPr>
            <w:r>
              <w:rPr>
                <w:sz w:val="18"/>
              </w:rPr>
              <w:t>ShareService</w:t>
            </w:r>
          </w:p>
        </w:tc>
        <w:tc>
          <w:tcPr>
            <w:tcW w:type="dxa" w:w="1728"/>
            <w:vAlign w:val="top"/>
          </w:tcPr>
          <w:p>
            <w:pPr>
              <w:spacing w:after="40"/>
            </w:pPr>
            <w:r>
              <w:rPr>
                <w:sz w:val="18"/>
              </w:rPr>
              <w:t>ADR-007</w:t>
            </w:r>
          </w:p>
        </w:tc>
        <w:tc>
          <w:tcPr>
            <w:tcW w:type="dxa" w:w="1584"/>
            <w:vAlign w:val="top"/>
          </w:tcPr>
          <w:p>
            <w:pPr>
              <w:spacing w:after="40"/>
            </w:pPr>
            <w:r>
              <w:rPr>
                <w:sz w:val="18"/>
              </w:rPr>
              <w:t>Test</w:t>
            </w:r>
          </w:p>
        </w:tc>
      </w:tr>
      <w:tr>
        <w:tc>
          <w:tcPr>
            <w:tcW w:type="dxa" w:w="1440"/>
            <w:vAlign w:val="top"/>
          </w:tcPr>
          <w:p>
            <w:pPr>
              <w:spacing w:after="40"/>
            </w:pPr>
            <w:r>
              <w:rPr>
                <w:sz w:val="18"/>
              </w:rPr>
              <w:t>FR-42</w:t>
            </w:r>
          </w:p>
        </w:tc>
        <w:tc>
          <w:tcPr>
            <w:tcW w:type="dxa" w:w="1152"/>
            <w:vAlign w:val="top"/>
          </w:tcPr>
          <w:p>
            <w:pPr>
              <w:spacing w:after="40"/>
            </w:pPr>
            <w:r>
              <w:rPr>
                <w:sz w:val="18"/>
              </w:rPr>
              <w:t>Must</w:t>
            </w:r>
          </w:p>
        </w:tc>
        <w:tc>
          <w:tcPr>
            <w:tcW w:type="dxa" w:w="3456"/>
            <w:vAlign w:val="top"/>
          </w:tcPr>
          <w:p>
            <w:pPr>
              <w:spacing w:after="40"/>
            </w:pPr>
            <w:r>
              <w:rPr>
                <w:sz w:val="18"/>
              </w:rPr>
              <w:t>ShareService</w:t>
            </w:r>
          </w:p>
        </w:tc>
        <w:tc>
          <w:tcPr>
            <w:tcW w:type="dxa" w:w="1728"/>
            <w:vAlign w:val="top"/>
          </w:tcPr>
          <w:p>
            <w:pPr>
              <w:spacing w:after="40"/>
            </w:pPr>
            <w:r>
              <w:rPr>
                <w:sz w:val="18"/>
              </w:rPr>
              <w:t>ADR-007</w:t>
            </w:r>
          </w:p>
        </w:tc>
        <w:tc>
          <w:tcPr>
            <w:tcW w:type="dxa" w:w="1584"/>
            <w:vAlign w:val="top"/>
          </w:tcPr>
          <w:p>
            <w:pPr>
              <w:spacing w:after="40"/>
            </w:pPr>
            <w:r>
              <w:rPr>
                <w:sz w:val="18"/>
              </w:rPr>
              <w:t>Test</w:t>
            </w:r>
          </w:p>
        </w:tc>
      </w:tr>
      <w:tr>
        <w:tc>
          <w:tcPr>
            <w:tcW w:type="dxa" w:w="1440"/>
            <w:vAlign w:val="top"/>
          </w:tcPr>
          <w:p>
            <w:pPr>
              <w:spacing w:after="40"/>
            </w:pPr>
            <w:r>
              <w:rPr>
                <w:sz w:val="18"/>
              </w:rPr>
              <w:t>FR-43</w:t>
            </w:r>
          </w:p>
        </w:tc>
        <w:tc>
          <w:tcPr>
            <w:tcW w:type="dxa" w:w="1152"/>
            <w:vAlign w:val="top"/>
          </w:tcPr>
          <w:p>
            <w:pPr>
              <w:spacing w:after="40"/>
            </w:pPr>
            <w:r>
              <w:rPr>
                <w:sz w:val="18"/>
              </w:rPr>
              <w:t>Must</w:t>
            </w:r>
          </w:p>
        </w:tc>
        <w:tc>
          <w:tcPr>
            <w:tcW w:type="dxa" w:w="3456"/>
            <w:vAlign w:val="top"/>
          </w:tcPr>
          <w:p>
            <w:pPr>
              <w:spacing w:after="40"/>
            </w:pPr>
            <w:r>
              <w:rPr>
                <w:sz w:val="18"/>
              </w:rPr>
              <w:t>ShareService</w:t>
            </w:r>
          </w:p>
        </w:tc>
        <w:tc>
          <w:tcPr>
            <w:tcW w:type="dxa" w:w="1728"/>
            <w:vAlign w:val="top"/>
          </w:tcPr>
          <w:p>
            <w:pPr>
              <w:spacing w:after="40"/>
            </w:pPr>
            <w:r>
              <w:rPr>
                <w:sz w:val="18"/>
              </w:rPr>
              <w:t>ADR-007</w:t>
            </w:r>
          </w:p>
        </w:tc>
        <w:tc>
          <w:tcPr>
            <w:tcW w:type="dxa" w:w="1584"/>
            <w:vAlign w:val="top"/>
          </w:tcPr>
          <w:p>
            <w:pPr>
              <w:spacing w:after="40"/>
            </w:pPr>
            <w:r>
              <w:rPr>
                <w:sz w:val="18"/>
              </w:rPr>
              <w:t>Test</w:t>
            </w:r>
          </w:p>
        </w:tc>
      </w:tr>
      <w:tr>
        <w:tc>
          <w:tcPr>
            <w:tcW w:type="dxa" w:w="1440"/>
            <w:vAlign w:val="top"/>
          </w:tcPr>
          <w:p>
            <w:pPr>
              <w:spacing w:after="40"/>
            </w:pPr>
            <w:r>
              <w:rPr>
                <w:sz w:val="18"/>
              </w:rPr>
              <w:t>FR-44</w:t>
            </w:r>
          </w:p>
        </w:tc>
        <w:tc>
          <w:tcPr>
            <w:tcW w:type="dxa" w:w="1152"/>
            <w:vAlign w:val="top"/>
          </w:tcPr>
          <w:p>
            <w:pPr>
              <w:spacing w:after="40"/>
            </w:pPr>
            <w:r>
              <w:rPr>
                <w:sz w:val="18"/>
              </w:rPr>
              <w:t>Must</w:t>
            </w:r>
          </w:p>
        </w:tc>
        <w:tc>
          <w:tcPr>
            <w:tcW w:type="dxa" w:w="3456"/>
            <w:vAlign w:val="top"/>
          </w:tcPr>
          <w:p>
            <w:pPr>
              <w:spacing w:after="40"/>
            </w:pPr>
            <w:r>
              <w:rPr>
                <w:sz w:val="18"/>
              </w:rPr>
              <w:t>PriceView</w:t>
            </w:r>
          </w:p>
        </w:tc>
        <w:tc>
          <w:tcPr>
            <w:tcW w:type="dxa" w:w="1728"/>
            <w:vAlign w:val="top"/>
          </w:tcPr>
          <w:p>
            <w:pPr>
              <w:spacing w:after="40"/>
            </w:pPr>
            <w:r>
              <w:rPr>
                <w:sz w:val="18"/>
              </w:rPr>
              <w:t>ADR-008</w:t>
            </w:r>
          </w:p>
        </w:tc>
        <w:tc>
          <w:tcPr>
            <w:tcW w:type="dxa" w:w="1584"/>
            <w:vAlign w:val="top"/>
          </w:tcPr>
          <w:p>
            <w:pPr>
              <w:spacing w:after="40"/>
            </w:pPr>
            <w:r>
              <w:rPr>
                <w:sz w:val="18"/>
              </w:rPr>
              <w:t>Inspection</w:t>
            </w:r>
          </w:p>
        </w:tc>
      </w:tr>
      <w:tr>
        <w:tc>
          <w:tcPr>
            <w:tcW w:type="dxa" w:w="1440"/>
            <w:vAlign w:val="top"/>
          </w:tcPr>
          <w:p>
            <w:pPr>
              <w:spacing w:after="40"/>
            </w:pPr>
            <w:r>
              <w:rPr>
                <w:sz w:val="18"/>
              </w:rPr>
              <w:t>FR-45</w:t>
            </w:r>
          </w:p>
        </w:tc>
        <w:tc>
          <w:tcPr>
            <w:tcW w:type="dxa" w:w="1152"/>
            <w:vAlign w:val="top"/>
          </w:tcPr>
          <w:p>
            <w:pPr>
              <w:spacing w:after="40"/>
            </w:pPr>
            <w:r>
              <w:rPr>
                <w:sz w:val="18"/>
              </w:rPr>
              <w:t>Must</w:t>
            </w:r>
          </w:p>
        </w:tc>
        <w:tc>
          <w:tcPr>
            <w:tcW w:type="dxa" w:w="3456"/>
            <w:vAlign w:val="top"/>
          </w:tcPr>
          <w:p>
            <w:pPr>
              <w:spacing w:after="40"/>
            </w:pPr>
            <w:r>
              <w:rPr>
                <w:sz w:val="18"/>
              </w:rPr>
              <w:t>PriceView</w:t>
            </w:r>
          </w:p>
        </w:tc>
        <w:tc>
          <w:tcPr>
            <w:tcW w:type="dxa" w:w="1728"/>
            <w:vAlign w:val="top"/>
          </w:tcPr>
          <w:p>
            <w:pPr>
              <w:spacing w:after="40"/>
            </w:pPr>
            <w:r>
              <w:rPr>
                <w:sz w:val="18"/>
              </w:rPr>
              <w:t>ADR-008</w:t>
            </w:r>
          </w:p>
        </w:tc>
        <w:tc>
          <w:tcPr>
            <w:tcW w:type="dxa" w:w="1584"/>
            <w:vAlign w:val="top"/>
          </w:tcPr>
          <w:p>
            <w:pPr>
              <w:spacing w:after="40"/>
            </w:pPr>
            <w:r>
              <w:rPr>
                <w:sz w:val="18"/>
              </w:rPr>
              <w:t>Test</w:t>
            </w:r>
          </w:p>
        </w:tc>
      </w:tr>
      <w:tr>
        <w:tc>
          <w:tcPr>
            <w:tcW w:type="dxa" w:w="1440"/>
            <w:vAlign w:val="top"/>
          </w:tcPr>
          <w:p>
            <w:pPr>
              <w:spacing w:after="40"/>
            </w:pPr>
            <w:r>
              <w:rPr>
                <w:sz w:val="18"/>
              </w:rPr>
              <w:t>FR-46</w:t>
            </w:r>
          </w:p>
        </w:tc>
        <w:tc>
          <w:tcPr>
            <w:tcW w:type="dxa" w:w="1152"/>
            <w:vAlign w:val="top"/>
          </w:tcPr>
          <w:p>
            <w:pPr>
              <w:spacing w:after="40"/>
            </w:pPr>
            <w:r>
              <w:rPr>
                <w:sz w:val="18"/>
              </w:rPr>
              <w:t>Must</w:t>
            </w:r>
          </w:p>
        </w:tc>
        <w:tc>
          <w:tcPr>
            <w:tcW w:type="dxa" w:w="3456"/>
            <w:vAlign w:val="top"/>
          </w:tcPr>
          <w:p>
            <w:pPr>
              <w:spacing w:after="40"/>
            </w:pPr>
            <w:r>
              <w:rPr>
                <w:sz w:val="18"/>
              </w:rPr>
              <w:t>SchemaCore</w:t>
            </w:r>
          </w:p>
        </w:tc>
        <w:tc>
          <w:tcPr>
            <w:tcW w:type="dxa" w:w="1728"/>
            <w:vAlign w:val="top"/>
          </w:tcPr>
          <w:p>
            <w:pPr>
              <w:spacing w:after="40"/>
            </w:pPr>
            <w:r>
              <w:rPr>
                <w:sz w:val="18"/>
              </w:rPr>
              <w:t>ADR-002</w:t>
            </w:r>
          </w:p>
        </w:tc>
        <w:tc>
          <w:tcPr>
            <w:tcW w:type="dxa" w:w="1584"/>
            <w:vAlign w:val="top"/>
          </w:tcPr>
          <w:p>
            <w:pPr>
              <w:spacing w:after="40"/>
            </w:pPr>
            <w:r>
              <w:rPr>
                <w:sz w:val="18"/>
              </w:rPr>
              <w:t>Inspection</w:t>
            </w:r>
          </w:p>
        </w:tc>
      </w:tr>
      <w:tr>
        <w:tc>
          <w:tcPr>
            <w:tcW w:type="dxa" w:w="1440"/>
            <w:vAlign w:val="top"/>
          </w:tcPr>
          <w:p>
            <w:pPr>
              <w:spacing w:after="40"/>
            </w:pPr>
            <w:r>
              <w:rPr>
                <w:sz w:val="18"/>
              </w:rPr>
              <w:t>FR-47</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FR-48</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ADR-004</w:t>
            </w:r>
          </w:p>
        </w:tc>
        <w:tc>
          <w:tcPr>
            <w:tcW w:type="dxa" w:w="1584"/>
            <w:vAlign w:val="top"/>
          </w:tcPr>
          <w:p>
            <w:pPr>
              <w:spacing w:after="40"/>
            </w:pPr>
            <w:r>
              <w:rPr>
                <w:sz w:val="18"/>
              </w:rPr>
              <w:t>Test</w:t>
            </w:r>
          </w:p>
        </w:tc>
      </w:tr>
      <w:tr>
        <w:tc>
          <w:tcPr>
            <w:tcW w:type="dxa" w:w="1440"/>
            <w:vAlign w:val="top"/>
          </w:tcPr>
          <w:p>
            <w:pPr>
              <w:spacing w:after="40"/>
            </w:pPr>
            <w:r>
              <w:rPr>
                <w:sz w:val="18"/>
              </w:rPr>
              <w:t>FR-49</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ADR-005</w:t>
            </w:r>
          </w:p>
        </w:tc>
        <w:tc>
          <w:tcPr>
            <w:tcW w:type="dxa" w:w="1584"/>
            <w:vAlign w:val="top"/>
          </w:tcPr>
          <w:p>
            <w:pPr>
              <w:spacing w:after="40"/>
            </w:pPr>
            <w:r>
              <w:rPr>
                <w:sz w:val="18"/>
              </w:rPr>
              <w:t>Test</w:t>
            </w:r>
          </w:p>
        </w:tc>
      </w:tr>
      <w:tr>
        <w:tc>
          <w:tcPr>
            <w:tcW w:type="dxa" w:w="1440"/>
            <w:vAlign w:val="top"/>
          </w:tcPr>
          <w:p>
            <w:pPr>
              <w:spacing w:after="40"/>
            </w:pPr>
            <w:r>
              <w:rPr>
                <w:sz w:val="18"/>
              </w:rPr>
              <w:t>FR-50</w:t>
            </w:r>
          </w:p>
        </w:tc>
        <w:tc>
          <w:tcPr>
            <w:tcW w:type="dxa" w:w="1152"/>
            <w:vAlign w:val="top"/>
          </w:tcPr>
          <w:p>
            <w:pPr>
              <w:spacing w:after="40"/>
            </w:pPr>
            <w:r>
              <w:rPr>
                <w:sz w:val="18"/>
              </w:rPr>
              <w:t>Must</w:t>
            </w:r>
          </w:p>
        </w:tc>
        <w:tc>
          <w:tcPr>
            <w:tcW w:type="dxa" w:w="3456"/>
            <w:vAlign w:val="top"/>
          </w:tcPr>
          <w:p>
            <w:pPr>
              <w:spacing w:after="40"/>
            </w:pPr>
            <w:r>
              <w:rPr>
                <w:sz w:val="18"/>
              </w:rPr>
              <w:t>SchemaCore</w:t>
            </w:r>
          </w:p>
        </w:tc>
        <w:tc>
          <w:tcPr>
            <w:tcW w:type="dxa" w:w="1728"/>
            <w:vAlign w:val="top"/>
          </w:tcPr>
          <w:p>
            <w:pPr>
              <w:spacing w:after="40"/>
            </w:pPr>
            <w:r>
              <w:rPr>
                <w:sz w:val="18"/>
              </w:rPr>
              <w:t>ADR-002</w:t>
            </w:r>
          </w:p>
        </w:tc>
        <w:tc>
          <w:tcPr>
            <w:tcW w:type="dxa" w:w="1584"/>
            <w:vAlign w:val="top"/>
          </w:tcPr>
          <w:p>
            <w:pPr>
              <w:spacing w:after="40"/>
            </w:pPr>
            <w:r>
              <w:rPr>
                <w:sz w:val="18"/>
              </w:rPr>
              <w:t>Demo</w:t>
            </w:r>
          </w:p>
        </w:tc>
      </w:tr>
      <w:tr>
        <w:tc>
          <w:tcPr>
            <w:tcW w:type="dxa" w:w="1440"/>
            <w:vAlign w:val="top"/>
          </w:tcPr>
          <w:p>
            <w:pPr>
              <w:spacing w:after="40"/>
            </w:pPr>
            <w:r>
              <w:rPr>
                <w:sz w:val="18"/>
              </w:rPr>
              <w:t>FR-51</w:t>
            </w:r>
          </w:p>
        </w:tc>
        <w:tc>
          <w:tcPr>
            <w:tcW w:type="dxa" w:w="1152"/>
            <w:vAlign w:val="top"/>
          </w:tcPr>
          <w:p>
            <w:pPr>
              <w:spacing w:after="40"/>
            </w:pPr>
            <w:r>
              <w:rPr>
                <w:sz w:val="18"/>
              </w:rPr>
              <w:t>Must</w:t>
            </w:r>
          </w:p>
        </w:tc>
        <w:tc>
          <w:tcPr>
            <w:tcW w:type="dxa" w:w="3456"/>
            <w:vAlign w:val="top"/>
          </w:tcPr>
          <w:p>
            <w:pPr>
              <w:spacing w:after="40"/>
            </w:pPr>
            <w:r>
              <w:rPr>
                <w:sz w:val="18"/>
              </w:rPr>
              <w:t>SchemaCore</w:t>
            </w:r>
          </w:p>
        </w:tc>
        <w:tc>
          <w:tcPr>
            <w:tcW w:type="dxa" w:w="1728"/>
            <w:vAlign w:val="top"/>
          </w:tcPr>
          <w:p>
            <w:pPr>
              <w:spacing w:after="40"/>
            </w:pPr>
            <w:r>
              <w:rPr>
                <w:sz w:val="18"/>
              </w:rPr>
              <w:t>ADR-002</w:t>
            </w:r>
          </w:p>
        </w:tc>
        <w:tc>
          <w:tcPr>
            <w:tcW w:type="dxa" w:w="1584"/>
            <w:vAlign w:val="top"/>
          </w:tcPr>
          <w:p>
            <w:pPr>
              <w:spacing w:after="40"/>
            </w:pPr>
            <w:r>
              <w:rPr>
                <w:sz w:val="18"/>
              </w:rPr>
              <w:t>Inspection</w:t>
            </w:r>
          </w:p>
        </w:tc>
      </w:tr>
      <w:tr>
        <w:tc>
          <w:tcPr>
            <w:tcW w:type="dxa" w:w="1440"/>
            <w:vAlign w:val="top"/>
          </w:tcPr>
          <w:p>
            <w:pPr>
              <w:spacing w:after="40"/>
            </w:pPr>
            <w:r>
              <w:rPr>
                <w:sz w:val="18"/>
              </w:rPr>
              <w:t>FR-52</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ADR-003</w:t>
            </w:r>
          </w:p>
        </w:tc>
        <w:tc>
          <w:tcPr>
            <w:tcW w:type="dxa" w:w="1584"/>
            <w:vAlign w:val="top"/>
          </w:tcPr>
          <w:p>
            <w:pPr>
              <w:spacing w:after="40"/>
            </w:pPr>
            <w:r>
              <w:rPr>
                <w:sz w:val="18"/>
              </w:rPr>
              <w:t>Inspection</w:t>
            </w:r>
          </w:p>
        </w:tc>
      </w:tr>
      <w:tr>
        <w:tc>
          <w:tcPr>
            <w:tcW w:type="dxa" w:w="1440"/>
            <w:vAlign w:val="top"/>
          </w:tcPr>
          <w:p>
            <w:pPr>
              <w:spacing w:after="40"/>
            </w:pPr>
            <w:r>
              <w:rPr>
                <w:sz w:val="18"/>
              </w:rPr>
              <w:t>FR-53</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ADR-003</w:t>
            </w:r>
          </w:p>
        </w:tc>
        <w:tc>
          <w:tcPr>
            <w:tcW w:type="dxa" w:w="1584"/>
            <w:vAlign w:val="top"/>
          </w:tcPr>
          <w:p>
            <w:pPr>
              <w:spacing w:after="40"/>
            </w:pPr>
            <w:r>
              <w:rPr>
                <w:sz w:val="18"/>
              </w:rPr>
              <w:t>Demo</w:t>
            </w:r>
          </w:p>
        </w:tc>
      </w:tr>
      <w:tr>
        <w:tc>
          <w:tcPr>
            <w:tcW w:type="dxa" w:w="1440"/>
            <w:vAlign w:val="top"/>
          </w:tcPr>
          <w:p>
            <w:pPr>
              <w:spacing w:after="40"/>
            </w:pPr>
            <w:r>
              <w:rPr>
                <w:sz w:val="18"/>
              </w:rPr>
              <w:t>FR-54</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FR-55</w:t>
            </w:r>
          </w:p>
        </w:tc>
        <w:tc>
          <w:tcPr>
            <w:tcW w:type="dxa" w:w="1152"/>
            <w:vAlign w:val="top"/>
          </w:tcPr>
          <w:p>
            <w:pPr>
              <w:spacing w:after="40"/>
            </w:pPr>
            <w:r>
              <w:rPr>
                <w:sz w:val="18"/>
              </w:rPr>
              <w:t>Must</w:t>
            </w:r>
          </w:p>
        </w:tc>
        <w:tc>
          <w:tcPr>
            <w:tcW w:type="dxa" w:w="3456"/>
            <w:vAlign w:val="top"/>
          </w:tcPr>
          <w:p>
            <w:pPr>
              <w:spacing w:after="40"/>
            </w:pPr>
            <w:r>
              <w:rPr>
                <w:sz w:val="18"/>
              </w:rPr>
              <w:t>AppShell</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FR-60</w:t>
            </w:r>
          </w:p>
        </w:tc>
        <w:tc>
          <w:tcPr>
            <w:tcW w:type="dxa" w:w="1152"/>
            <w:vAlign w:val="top"/>
          </w:tcPr>
          <w:p>
            <w:pPr>
              <w:spacing w:after="40"/>
            </w:pPr>
            <w:r>
              <w:rPr>
                <w:sz w:val="18"/>
              </w:rPr>
              <w:t>Must</w:t>
            </w:r>
          </w:p>
        </w:tc>
        <w:tc>
          <w:tcPr>
            <w:tcW w:type="dxa" w:w="3456"/>
            <w:vAlign w:val="top"/>
          </w:tcPr>
          <w:p>
            <w:pPr>
              <w:spacing w:after="40"/>
            </w:pPr>
            <w:r>
              <w:rPr>
                <w:sz w:val="18"/>
              </w:rPr>
              <w:t>AppShell, CardCatalog, DeckBuilder</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FR-61</w:t>
            </w:r>
          </w:p>
        </w:tc>
        <w:tc>
          <w:tcPr>
            <w:tcW w:type="dxa" w:w="1152"/>
            <w:vAlign w:val="top"/>
          </w:tcPr>
          <w:p>
            <w:pPr>
              <w:spacing w:after="40"/>
            </w:pPr>
            <w:r>
              <w:rPr>
                <w:sz w:val="18"/>
              </w:rPr>
              <w:t>Must</w:t>
            </w:r>
          </w:p>
        </w:tc>
        <w:tc>
          <w:tcPr>
            <w:tcW w:type="dxa" w:w="3456"/>
            <w:vAlign w:val="top"/>
          </w:tcPr>
          <w:p>
            <w:pPr>
              <w:spacing w:after="40"/>
            </w:pPr>
            <w:r>
              <w:rPr>
                <w:sz w:val="18"/>
              </w:rPr>
              <w:t>WantListStore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FR-62</w:t>
            </w:r>
          </w:p>
        </w:tc>
        <w:tc>
          <w:tcPr>
            <w:tcW w:type="dxa" w:w="1152"/>
            <w:vAlign w:val="top"/>
          </w:tcPr>
          <w:p>
            <w:pPr>
              <w:spacing w:after="40"/>
            </w:pPr>
            <w:r>
              <w:rPr>
                <w:sz w:val="18"/>
              </w:rPr>
              <w:t>Must</w:t>
            </w:r>
          </w:p>
        </w:tc>
        <w:tc>
          <w:tcPr>
            <w:tcW w:type="dxa" w:w="3456"/>
            <w:vAlign w:val="top"/>
          </w:tcPr>
          <w:p>
            <w:pPr>
              <w:spacing w:after="40"/>
            </w:pPr>
            <w:r>
              <w:rPr>
                <w:sz w:val="18"/>
              </w:rPr>
              <w:t>ValueSummary, WantListStore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FR-63</w:t>
            </w:r>
          </w:p>
        </w:tc>
        <w:tc>
          <w:tcPr>
            <w:tcW w:type="dxa" w:w="1152"/>
            <w:vAlign w:val="top"/>
          </w:tcPr>
          <w:p>
            <w:pPr>
              <w:spacing w:after="40"/>
            </w:pPr>
            <w:r>
              <w:rPr>
                <w:sz w:val="18"/>
              </w:rPr>
              <w:t>Must</w:t>
            </w:r>
          </w:p>
        </w:tc>
        <w:tc>
          <w:tcPr>
            <w:tcW w:type="dxa" w:w="3456"/>
            <w:vAlign w:val="top"/>
          </w:tcPr>
          <w:p>
            <w:pPr>
              <w:spacing w:after="40"/>
            </w:pPr>
            <w:r>
              <w:rPr>
                <w:sz w:val="18"/>
              </w:rPr>
              <w:t>WantListStore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FR-64</w:t>
            </w:r>
          </w:p>
        </w:tc>
        <w:tc>
          <w:tcPr>
            <w:tcW w:type="dxa" w:w="1152"/>
            <w:vAlign w:val="top"/>
          </w:tcPr>
          <w:p>
            <w:pPr>
              <w:spacing w:after="40"/>
            </w:pPr>
            <w:r>
              <w:rPr>
                <w:sz w:val="18"/>
              </w:rPr>
              <w:t>Must</w:t>
            </w:r>
          </w:p>
        </w:tc>
        <w:tc>
          <w:tcPr>
            <w:tcW w:type="dxa" w:w="3456"/>
            <w:vAlign w:val="top"/>
          </w:tcPr>
          <w:p>
            <w:pPr>
              <w:spacing w:after="40"/>
            </w:pPr>
            <w:r>
              <w:rPr>
                <w:sz w:val="18"/>
              </w:rPr>
              <w:t>ShareService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FR-65</w:t>
            </w:r>
          </w:p>
        </w:tc>
        <w:tc>
          <w:tcPr>
            <w:tcW w:type="dxa" w:w="1152"/>
            <w:vAlign w:val="top"/>
          </w:tcPr>
          <w:p>
            <w:pPr>
              <w:spacing w:after="40"/>
            </w:pPr>
            <w:r>
              <w:rPr>
                <w:sz w:val="18"/>
              </w:rPr>
              <w:t>Must</w:t>
            </w:r>
          </w:p>
        </w:tc>
        <w:tc>
          <w:tcPr>
            <w:tcW w:type="dxa" w:w="3456"/>
            <w:vAlign w:val="top"/>
          </w:tcPr>
          <w:p>
            <w:pPr>
              <w:spacing w:after="40"/>
            </w:pPr>
            <w:r>
              <w:rPr>
                <w:sz w:val="18"/>
              </w:rPr>
              <w:t>WantListStore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FR-66</w:t>
            </w:r>
          </w:p>
        </w:tc>
        <w:tc>
          <w:tcPr>
            <w:tcW w:type="dxa" w:w="1152"/>
            <w:vAlign w:val="top"/>
          </w:tcPr>
          <w:p>
            <w:pPr>
              <w:spacing w:after="40"/>
            </w:pPr>
            <w:r>
              <w:rPr>
                <w:sz w:val="18"/>
              </w:rPr>
              <w:t>Must</w:t>
            </w:r>
          </w:p>
        </w:tc>
        <w:tc>
          <w:tcPr>
            <w:tcW w:type="dxa" w:w="3456"/>
            <w:vAlign w:val="top"/>
          </w:tcPr>
          <w:p>
            <w:pPr>
              <w:spacing w:after="40"/>
            </w:pPr>
            <w:r>
              <w:rPr>
                <w:sz w:val="18"/>
              </w:rPr>
              <w:t>ValueSummary, CollectionStore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FR-67</w:t>
            </w:r>
          </w:p>
        </w:tc>
        <w:tc>
          <w:tcPr>
            <w:tcW w:type="dxa" w:w="1152"/>
            <w:vAlign w:val="top"/>
          </w:tcPr>
          <w:p>
            <w:pPr>
              <w:spacing w:after="40"/>
            </w:pPr>
            <w:r>
              <w:rPr>
                <w:sz w:val="18"/>
              </w:rPr>
              <w:t>Must</w:t>
            </w:r>
          </w:p>
        </w:tc>
        <w:tc>
          <w:tcPr>
            <w:tcW w:type="dxa" w:w="3456"/>
            <w:vAlign w:val="top"/>
          </w:tcPr>
          <w:p>
            <w:pPr>
              <w:spacing w:after="40"/>
            </w:pPr>
            <w:r>
              <w:rPr>
                <w:sz w:val="18"/>
              </w:rPr>
              <w:t>CollectionStore</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FR-68</w:t>
            </w:r>
          </w:p>
        </w:tc>
        <w:tc>
          <w:tcPr>
            <w:tcW w:type="dxa" w:w="1152"/>
            <w:vAlign w:val="top"/>
          </w:tcPr>
          <w:p>
            <w:pPr>
              <w:spacing w:after="40"/>
            </w:pPr>
            <w:r>
              <w:rPr>
                <w:sz w:val="18"/>
              </w:rPr>
              <w:t>Should</w:t>
            </w:r>
          </w:p>
        </w:tc>
        <w:tc>
          <w:tcPr>
            <w:tcW w:type="dxa" w:w="3456"/>
            <w:vAlign w:val="top"/>
          </w:tcPr>
          <w:p>
            <w:pPr>
              <w:spacing w:after="40"/>
            </w:pPr>
            <w:r>
              <w:rPr>
                <w:sz w:val="18"/>
              </w:rPr>
              <w:t>CollectionStore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FR-69</w:t>
            </w:r>
          </w:p>
        </w:tc>
        <w:tc>
          <w:tcPr>
            <w:tcW w:type="dxa" w:w="1152"/>
            <w:vAlign w:val="top"/>
          </w:tcPr>
          <w:p>
            <w:pPr>
              <w:spacing w:after="40"/>
            </w:pPr>
            <w:r>
              <w:rPr>
                <w:sz w:val="18"/>
              </w:rPr>
              <w:t>Must</w:t>
            </w:r>
          </w:p>
        </w:tc>
        <w:tc>
          <w:tcPr>
            <w:tcW w:type="dxa" w:w="3456"/>
            <w:vAlign w:val="top"/>
          </w:tcPr>
          <w:p>
            <w:pPr>
              <w:spacing w:after="40"/>
            </w:pPr>
            <w:r>
              <w:rPr>
                <w:sz w:val="18"/>
              </w:rPr>
              <w:t>DeckBuilder, CollectionStore</w:t>
            </w:r>
          </w:p>
        </w:tc>
        <w:tc>
          <w:tcPr>
            <w:tcW w:type="dxa" w:w="1728"/>
            <w:vAlign w:val="top"/>
          </w:tcPr>
          <w:p>
            <w:pPr>
              <w:spacing w:after="40"/>
            </w:pPr>
            <w:r>
              <w:rPr>
                <w:sz w:val="18"/>
              </w:rPr>
              <w:t>ADR-013</w:t>
            </w:r>
          </w:p>
        </w:tc>
        <w:tc>
          <w:tcPr>
            <w:tcW w:type="dxa" w:w="1584"/>
            <w:vAlign w:val="top"/>
          </w:tcPr>
          <w:p>
            <w:pPr>
              <w:spacing w:after="40"/>
            </w:pPr>
            <w:r>
              <w:rPr>
                <w:sz w:val="18"/>
              </w:rPr>
              <w:t>Test</w:t>
            </w:r>
          </w:p>
        </w:tc>
      </w:tr>
      <w:tr>
        <w:tc>
          <w:tcPr>
            <w:tcW w:type="dxa" w:w="1440"/>
            <w:vAlign w:val="top"/>
          </w:tcPr>
          <w:p>
            <w:pPr>
              <w:spacing w:after="40"/>
            </w:pPr>
            <w:r>
              <w:rPr>
                <w:sz w:val="18"/>
              </w:rPr>
              <w:t>FR-70</w:t>
            </w:r>
          </w:p>
        </w:tc>
        <w:tc>
          <w:tcPr>
            <w:tcW w:type="dxa" w:w="1152"/>
            <w:vAlign w:val="top"/>
          </w:tcPr>
          <w:p>
            <w:pPr>
              <w:spacing w:after="40"/>
            </w:pPr>
            <w:r>
              <w:rPr>
                <w:sz w:val="18"/>
              </w:rPr>
              <w:t>Must</w:t>
            </w:r>
          </w:p>
        </w:tc>
        <w:tc>
          <w:tcPr>
            <w:tcW w:type="dxa" w:w="3456"/>
            <w:vAlign w:val="top"/>
          </w:tcPr>
          <w:p>
            <w:pPr>
              <w:spacing w:after="40"/>
            </w:pPr>
            <w:r>
              <w:rPr>
                <w:sz w:val="18"/>
              </w:rPr>
              <w:t>WantListStore, CollectionStore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FR-71</w:t>
            </w:r>
          </w:p>
        </w:tc>
        <w:tc>
          <w:tcPr>
            <w:tcW w:type="dxa" w:w="1152"/>
            <w:vAlign w:val="top"/>
          </w:tcPr>
          <w:p>
            <w:pPr>
              <w:spacing w:after="40"/>
            </w:pPr>
            <w:r>
              <w:rPr>
                <w:sz w:val="18"/>
              </w:rPr>
              <w:t>Must</w:t>
            </w:r>
          </w:p>
        </w:tc>
        <w:tc>
          <w:tcPr>
            <w:tcW w:type="dxa" w:w="3456"/>
            <w:vAlign w:val="top"/>
          </w:tcPr>
          <w:p>
            <w:pPr>
              <w:spacing w:after="40"/>
            </w:pPr>
            <w:r>
              <w:rPr>
                <w:sz w:val="18"/>
              </w:rPr>
              <w:t>-</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NFR-01</w:t>
            </w:r>
          </w:p>
        </w:tc>
        <w:tc>
          <w:tcPr>
            <w:tcW w:type="dxa" w:w="1152"/>
            <w:vAlign w:val="top"/>
          </w:tcPr>
          <w:p>
            <w:pPr>
              <w:spacing w:after="40"/>
            </w:pPr>
            <w:r>
              <w:rPr>
                <w:sz w:val="18"/>
              </w:rPr>
              <w:t>Must</w:t>
            </w:r>
          </w:p>
        </w:tc>
        <w:tc>
          <w:tcPr>
            <w:tcW w:type="dxa" w:w="3456"/>
            <w:vAlign w:val="top"/>
          </w:tcPr>
          <w:p>
            <w:pPr>
              <w:spacing w:after="40"/>
            </w:pPr>
            <w:r>
              <w:rPr>
                <w:sz w:val="18"/>
              </w:rPr>
              <w:t>SearchIndex</w:t>
            </w:r>
          </w:p>
        </w:tc>
        <w:tc>
          <w:tcPr>
            <w:tcW w:type="dxa" w:w="1728"/>
            <w:vAlign w:val="top"/>
          </w:tcPr>
          <w:p>
            <w:pPr>
              <w:spacing w:after="40"/>
            </w:pPr>
            <w:r>
              <w:rPr>
                <w:sz w:val="18"/>
              </w:rPr>
              <w:t>ADR-009</w:t>
            </w:r>
          </w:p>
        </w:tc>
        <w:tc>
          <w:tcPr>
            <w:tcW w:type="dxa" w:w="1584"/>
            <w:vAlign w:val="top"/>
          </w:tcPr>
          <w:p>
            <w:pPr>
              <w:spacing w:after="40"/>
            </w:pPr>
            <w:r>
              <w:rPr>
                <w:sz w:val="18"/>
              </w:rPr>
              <w:t>Test</w:t>
            </w:r>
          </w:p>
        </w:tc>
      </w:tr>
      <w:tr>
        <w:tc>
          <w:tcPr>
            <w:tcW w:type="dxa" w:w="1440"/>
            <w:vAlign w:val="top"/>
          </w:tcPr>
          <w:p>
            <w:pPr>
              <w:spacing w:after="40"/>
            </w:pPr>
            <w:r>
              <w:rPr>
                <w:sz w:val="18"/>
              </w:rPr>
              <w:t>NFR-02</w:t>
            </w:r>
          </w:p>
        </w:tc>
        <w:tc>
          <w:tcPr>
            <w:tcW w:type="dxa" w:w="1152"/>
            <w:vAlign w:val="top"/>
          </w:tcPr>
          <w:p>
            <w:pPr>
              <w:spacing w:after="40"/>
            </w:pPr>
            <w:r>
              <w:rPr>
                <w:sz w:val="18"/>
              </w:rPr>
              <w:t>Must</w:t>
            </w:r>
          </w:p>
        </w:tc>
        <w:tc>
          <w:tcPr>
            <w:tcW w:type="dxa" w:w="3456"/>
            <w:vAlign w:val="top"/>
          </w:tcPr>
          <w:p>
            <w:pPr>
              <w:spacing w:after="40"/>
            </w:pPr>
            <w:r>
              <w:rPr>
                <w:sz w:val="18"/>
              </w:rPr>
              <w:t>-</w:t>
            </w:r>
          </w:p>
        </w:tc>
        <w:tc>
          <w:tcPr>
            <w:tcW w:type="dxa" w:w="1728"/>
            <w:vAlign w:val="top"/>
          </w:tcPr>
          <w:p>
            <w:pPr>
              <w:spacing w:after="40"/>
            </w:pPr>
            <w:r>
              <w:rPr>
                <w:sz w:val="18"/>
              </w:rPr>
              <w:t>ADR-009</w:t>
            </w:r>
          </w:p>
        </w:tc>
        <w:tc>
          <w:tcPr>
            <w:tcW w:type="dxa" w:w="1584"/>
            <w:vAlign w:val="top"/>
          </w:tcPr>
          <w:p>
            <w:pPr>
              <w:spacing w:after="40"/>
            </w:pPr>
            <w:r>
              <w:rPr>
                <w:sz w:val="18"/>
              </w:rPr>
              <w:t>Test</w:t>
            </w:r>
          </w:p>
        </w:tc>
      </w:tr>
      <w:tr>
        <w:tc>
          <w:tcPr>
            <w:tcW w:type="dxa" w:w="1440"/>
            <w:vAlign w:val="top"/>
          </w:tcPr>
          <w:p>
            <w:pPr>
              <w:spacing w:after="40"/>
            </w:pPr>
            <w:r>
              <w:rPr>
                <w:sz w:val="18"/>
              </w:rPr>
              <w:t>NFR-03</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NFR-04</w:t>
            </w:r>
          </w:p>
        </w:tc>
        <w:tc>
          <w:tcPr>
            <w:tcW w:type="dxa" w:w="1152"/>
            <w:vAlign w:val="top"/>
          </w:tcPr>
          <w:p>
            <w:pPr>
              <w:spacing w:after="40"/>
            </w:pPr>
            <w:r>
              <w:rPr>
                <w:sz w:val="18"/>
              </w:rPr>
              <w:t>Must</w:t>
            </w:r>
          </w:p>
        </w:tc>
        <w:tc>
          <w:tcPr>
            <w:tcW w:type="dxa" w:w="3456"/>
            <w:vAlign w:val="top"/>
          </w:tcPr>
          <w:p>
            <w:pPr>
              <w:spacing w:after="40"/>
            </w:pPr>
            <w:r>
              <w:rPr>
                <w:sz w:val="18"/>
              </w:rPr>
              <w:t>AuthClient</w:t>
            </w:r>
          </w:p>
        </w:tc>
        <w:tc>
          <w:tcPr>
            <w:tcW w:type="dxa" w:w="1728"/>
            <w:vAlign w:val="top"/>
          </w:tcPr>
          <w:p>
            <w:pPr>
              <w:spacing w:after="40"/>
            </w:pPr>
            <w:r>
              <w:rPr>
                <w:sz w:val="18"/>
              </w:rPr>
              <w:t>ADR-006</w:t>
            </w:r>
          </w:p>
        </w:tc>
        <w:tc>
          <w:tcPr>
            <w:tcW w:type="dxa" w:w="1584"/>
            <w:vAlign w:val="top"/>
          </w:tcPr>
          <w:p>
            <w:pPr>
              <w:spacing w:after="40"/>
            </w:pPr>
            <w:r>
              <w:rPr>
                <w:sz w:val="18"/>
              </w:rPr>
              <w:t>Analysis</w:t>
            </w:r>
          </w:p>
        </w:tc>
      </w:tr>
      <w:tr>
        <w:tc>
          <w:tcPr>
            <w:tcW w:type="dxa" w:w="1440"/>
            <w:vAlign w:val="top"/>
          </w:tcPr>
          <w:p>
            <w:pPr>
              <w:spacing w:after="40"/>
            </w:pPr>
            <w:r>
              <w:rPr>
                <w:sz w:val="18"/>
              </w:rPr>
              <w:t>NFR-05</w:t>
            </w:r>
          </w:p>
        </w:tc>
        <w:tc>
          <w:tcPr>
            <w:tcW w:type="dxa" w:w="1152"/>
            <w:vAlign w:val="top"/>
          </w:tcPr>
          <w:p>
            <w:pPr>
              <w:spacing w:after="40"/>
            </w:pPr>
            <w:r>
              <w:rPr>
                <w:sz w:val="18"/>
              </w:rPr>
              <w:t>Must</w:t>
            </w:r>
          </w:p>
        </w:tc>
        <w:tc>
          <w:tcPr>
            <w:tcW w:type="dxa" w:w="3456"/>
            <w:vAlign w:val="top"/>
          </w:tcPr>
          <w:p>
            <w:pPr>
              <w:spacing w:after="40"/>
            </w:pPr>
            <w:r>
              <w:rPr>
                <w:sz w:val="18"/>
              </w:rPr>
              <w:t>CardCatalog</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NFR-06</w:t>
            </w:r>
          </w:p>
        </w:tc>
        <w:tc>
          <w:tcPr>
            <w:tcW w:type="dxa" w:w="1152"/>
            <w:vAlign w:val="top"/>
          </w:tcPr>
          <w:p>
            <w:pPr>
              <w:spacing w:after="40"/>
            </w:pPr>
            <w:r>
              <w:rPr>
                <w:sz w:val="18"/>
              </w:rPr>
              <w:t>Must</w:t>
            </w:r>
          </w:p>
        </w:tc>
        <w:tc>
          <w:tcPr>
            <w:tcW w:type="dxa" w:w="3456"/>
            <w:vAlign w:val="top"/>
          </w:tcPr>
          <w:p>
            <w:pPr>
              <w:spacing w:after="40"/>
            </w:pPr>
            <w:r>
              <w:rPr>
                <w:sz w:val="18"/>
              </w:rPr>
              <w:t>DeckStore, WantListStore, CollectionStore</w:t>
            </w:r>
          </w:p>
        </w:tc>
        <w:tc>
          <w:tcPr>
            <w:tcW w:type="dxa" w:w="1728"/>
            <w:vAlign w:val="top"/>
          </w:tcPr>
          <w:p>
            <w:pPr>
              <w:spacing w:after="40"/>
            </w:pPr>
            <w:r>
              <w:rPr>
                <w:sz w:val="18"/>
              </w:rPr>
              <w:t>ADR-011</w:t>
            </w:r>
          </w:p>
        </w:tc>
        <w:tc>
          <w:tcPr>
            <w:tcW w:type="dxa" w:w="1584"/>
            <w:vAlign w:val="top"/>
          </w:tcPr>
          <w:p>
            <w:pPr>
              <w:spacing w:after="40"/>
            </w:pPr>
            <w:r>
              <w:rPr>
                <w:sz w:val="18"/>
              </w:rPr>
              <w:t>Inspection</w:t>
            </w:r>
          </w:p>
        </w:tc>
      </w:tr>
      <w:tr>
        <w:tc>
          <w:tcPr>
            <w:tcW w:type="dxa" w:w="1440"/>
            <w:vAlign w:val="top"/>
          </w:tcPr>
          <w:p>
            <w:pPr>
              <w:spacing w:after="40"/>
            </w:pPr>
            <w:r>
              <w:rPr>
                <w:sz w:val="18"/>
              </w:rPr>
              <w:t>NFR-07</w:t>
            </w:r>
          </w:p>
        </w:tc>
        <w:tc>
          <w:tcPr>
            <w:tcW w:type="dxa" w:w="1152"/>
            <w:vAlign w:val="top"/>
          </w:tcPr>
          <w:p>
            <w:pPr>
              <w:spacing w:after="40"/>
            </w:pPr>
            <w:r>
              <w:rPr>
                <w:sz w:val="18"/>
              </w:rPr>
              <w:t>Must</w:t>
            </w:r>
          </w:p>
        </w:tc>
        <w:tc>
          <w:tcPr>
            <w:tcW w:type="dxa" w:w="3456"/>
            <w:vAlign w:val="top"/>
          </w:tcPr>
          <w:p>
            <w:pPr>
              <w:spacing w:after="40"/>
            </w:pPr>
            <w:r>
              <w:rPr>
                <w:sz w:val="18"/>
              </w:rPr>
              <w:t>-</w:t>
            </w:r>
          </w:p>
        </w:tc>
        <w:tc>
          <w:tcPr>
            <w:tcW w:type="dxa" w:w="1728"/>
            <w:vAlign w:val="top"/>
          </w:tcPr>
          <w:p>
            <w:pPr>
              <w:spacing w:after="40"/>
            </w:pPr>
            <w:r>
              <w:rPr>
                <w:sz w:val="18"/>
              </w:rPr>
              <w:t>ADR-011</w:t>
            </w:r>
          </w:p>
        </w:tc>
        <w:tc>
          <w:tcPr>
            <w:tcW w:type="dxa" w:w="1584"/>
            <w:vAlign w:val="top"/>
          </w:tcPr>
          <w:p>
            <w:pPr>
              <w:spacing w:after="40"/>
            </w:pPr>
            <w:r>
              <w:rPr>
                <w:sz w:val="18"/>
              </w:rPr>
              <w:t>Test</w:t>
            </w:r>
          </w:p>
        </w:tc>
      </w:tr>
      <w:tr>
        <w:tc>
          <w:tcPr>
            <w:tcW w:type="dxa" w:w="1440"/>
            <w:vAlign w:val="top"/>
          </w:tcPr>
          <w:p>
            <w:pPr>
              <w:spacing w:after="40"/>
            </w:pPr>
            <w:r>
              <w:rPr>
                <w:sz w:val="18"/>
              </w:rPr>
              <w:t>NFR-08</w:t>
            </w:r>
          </w:p>
        </w:tc>
        <w:tc>
          <w:tcPr>
            <w:tcW w:type="dxa" w:w="1152"/>
            <w:vAlign w:val="top"/>
          </w:tcPr>
          <w:p>
            <w:pPr>
              <w:spacing w:after="40"/>
            </w:pPr>
            <w:r>
              <w:rPr>
                <w:sz w:val="18"/>
              </w:rPr>
              <w:t>Must</w:t>
            </w:r>
          </w:p>
        </w:tc>
        <w:tc>
          <w:tcPr>
            <w:tcW w:type="dxa" w:w="3456"/>
            <w:vAlign w:val="top"/>
          </w:tcPr>
          <w:p>
            <w:pPr>
              <w:spacing w:after="40"/>
            </w:pPr>
            <w:r>
              <w:rPr>
                <w:sz w:val="18"/>
              </w:rPr>
              <w:t>DataPipeline</w:t>
            </w:r>
          </w:p>
        </w:tc>
        <w:tc>
          <w:tcPr>
            <w:tcW w:type="dxa" w:w="1728"/>
            <w:vAlign w:val="top"/>
          </w:tcPr>
          <w:p>
            <w:pPr>
              <w:spacing w:after="40"/>
            </w:pPr>
            <w:r>
              <w:rPr>
                <w:sz w:val="18"/>
              </w:rPr>
              <w:t>ADR-003</w:t>
            </w:r>
          </w:p>
        </w:tc>
        <w:tc>
          <w:tcPr>
            <w:tcW w:type="dxa" w:w="1584"/>
            <w:vAlign w:val="top"/>
          </w:tcPr>
          <w:p>
            <w:pPr>
              <w:spacing w:after="40"/>
            </w:pPr>
            <w:r>
              <w:rPr>
                <w:sz w:val="18"/>
              </w:rPr>
              <w:t>Test</w:t>
            </w:r>
          </w:p>
        </w:tc>
      </w:tr>
      <w:tr>
        <w:tc>
          <w:tcPr>
            <w:tcW w:type="dxa" w:w="1440"/>
            <w:vAlign w:val="top"/>
          </w:tcPr>
          <w:p>
            <w:pPr>
              <w:spacing w:after="40"/>
            </w:pPr>
            <w:r>
              <w:rPr>
                <w:sz w:val="18"/>
              </w:rPr>
              <w:t>NFR-09</w:t>
            </w:r>
          </w:p>
        </w:tc>
        <w:tc>
          <w:tcPr>
            <w:tcW w:type="dxa" w:w="1152"/>
            <w:vAlign w:val="top"/>
          </w:tcPr>
          <w:p>
            <w:pPr>
              <w:spacing w:after="40"/>
            </w:pPr>
            <w:r>
              <w:rPr>
                <w:sz w:val="18"/>
              </w:rPr>
              <w:t>Must</w:t>
            </w:r>
          </w:p>
        </w:tc>
        <w:tc>
          <w:tcPr>
            <w:tcW w:type="dxa" w:w="3456"/>
            <w:vAlign w:val="top"/>
          </w:tcPr>
          <w:p>
            <w:pPr>
              <w:spacing w:after="40"/>
            </w:pPr>
            <w:r>
              <w:rPr>
                <w:sz w:val="18"/>
              </w:rPr>
              <w:t>DataTable</w:t>
            </w:r>
          </w:p>
        </w:tc>
        <w:tc>
          <w:tcPr>
            <w:tcW w:type="dxa" w:w="1728"/>
            <w:vAlign w:val="top"/>
          </w:tcPr>
          <w:p>
            <w:pPr>
              <w:spacing w:after="40"/>
            </w:pPr>
            <w:r>
              <w:rPr>
                <w:sz w:val="18"/>
              </w:rPr>
              <w:t>-</w:t>
            </w:r>
          </w:p>
        </w:tc>
        <w:tc>
          <w:tcPr>
            <w:tcW w:type="dxa" w:w="1584"/>
            <w:vAlign w:val="top"/>
          </w:tcPr>
          <w:p>
            <w:pPr>
              <w:spacing w:after="40"/>
            </w:pPr>
            <w:r>
              <w:rPr>
                <w:sz w:val="18"/>
              </w:rPr>
              <w:t>Analysis</w:t>
            </w:r>
          </w:p>
        </w:tc>
      </w:tr>
      <w:tr>
        <w:tc>
          <w:tcPr>
            <w:tcW w:type="dxa" w:w="1440"/>
            <w:vAlign w:val="top"/>
          </w:tcPr>
          <w:p>
            <w:pPr>
              <w:spacing w:after="40"/>
            </w:pPr>
            <w:r>
              <w:rPr>
                <w:sz w:val="18"/>
              </w:rPr>
              <w:t>NFR-10</w:t>
            </w:r>
          </w:p>
        </w:tc>
        <w:tc>
          <w:tcPr>
            <w:tcW w:type="dxa" w:w="1152"/>
            <w:vAlign w:val="top"/>
          </w:tcPr>
          <w:p>
            <w:pPr>
              <w:spacing w:after="40"/>
            </w:pPr>
            <w:r>
              <w:rPr>
                <w:sz w:val="18"/>
              </w:rPr>
              <w:t>Must</w:t>
            </w:r>
          </w:p>
        </w:tc>
        <w:tc>
          <w:tcPr>
            <w:tcW w:type="dxa" w:w="3456"/>
            <w:vAlign w:val="top"/>
          </w:tcPr>
          <w:p>
            <w:pPr>
              <w:spacing w:after="40"/>
            </w:pPr>
            <w:r>
              <w:rPr>
                <w:sz w:val="18"/>
              </w:rPr>
              <w:t>DataTable</w:t>
            </w:r>
          </w:p>
        </w:tc>
        <w:tc>
          <w:tcPr>
            <w:tcW w:type="dxa" w:w="1728"/>
            <w:vAlign w:val="top"/>
          </w:tcPr>
          <w:p>
            <w:pPr>
              <w:spacing w:after="40"/>
            </w:pPr>
            <w:r>
              <w:rPr>
                <w:sz w:val="18"/>
              </w:rPr>
              <w:t>-</w:t>
            </w:r>
          </w:p>
        </w:tc>
        <w:tc>
          <w:tcPr>
            <w:tcW w:type="dxa" w:w="1584"/>
            <w:vAlign w:val="top"/>
          </w:tcPr>
          <w:p>
            <w:pPr>
              <w:spacing w:after="40"/>
            </w:pPr>
            <w:r>
              <w:rPr>
                <w:sz w:val="18"/>
              </w:rPr>
              <w:t>Test</w:t>
            </w:r>
          </w:p>
        </w:tc>
      </w:tr>
      <w:tr>
        <w:tc>
          <w:tcPr>
            <w:tcW w:type="dxa" w:w="1440"/>
            <w:vAlign w:val="top"/>
          </w:tcPr>
          <w:p>
            <w:pPr>
              <w:spacing w:after="40"/>
            </w:pPr>
            <w:r>
              <w:rPr>
                <w:sz w:val="18"/>
              </w:rPr>
              <w:t>NFR-11</w:t>
            </w:r>
          </w:p>
        </w:tc>
        <w:tc>
          <w:tcPr>
            <w:tcW w:type="dxa" w:w="1152"/>
            <w:vAlign w:val="top"/>
          </w:tcPr>
          <w:p>
            <w:pPr>
              <w:spacing w:after="40"/>
            </w:pPr>
            <w:r>
              <w:rPr>
                <w:sz w:val="18"/>
              </w:rPr>
              <w:t>Must</w:t>
            </w:r>
          </w:p>
        </w:tc>
        <w:tc>
          <w:tcPr>
            <w:tcW w:type="dxa" w:w="3456"/>
            <w:vAlign w:val="top"/>
          </w:tcPr>
          <w:p>
            <w:pPr>
              <w:spacing w:after="40"/>
            </w:pPr>
            <w:r>
              <w:rPr>
                <w:sz w:val="18"/>
              </w:rPr>
              <w:t>-</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NFR-12</w:t>
            </w:r>
          </w:p>
        </w:tc>
        <w:tc>
          <w:tcPr>
            <w:tcW w:type="dxa" w:w="1152"/>
            <w:vAlign w:val="top"/>
          </w:tcPr>
          <w:p>
            <w:pPr>
              <w:spacing w:after="40"/>
            </w:pPr>
            <w:r>
              <w:rPr>
                <w:sz w:val="18"/>
              </w:rPr>
              <w:t>Must</w:t>
            </w:r>
          </w:p>
        </w:tc>
        <w:tc>
          <w:tcPr>
            <w:tcW w:type="dxa" w:w="3456"/>
            <w:vAlign w:val="top"/>
          </w:tcPr>
          <w:p>
            <w:pPr>
              <w:spacing w:after="40"/>
            </w:pPr>
            <w:r>
              <w:rPr>
                <w:sz w:val="18"/>
              </w:rPr>
              <w:t>AppShell</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NFR-13</w:t>
            </w:r>
          </w:p>
        </w:tc>
        <w:tc>
          <w:tcPr>
            <w:tcW w:type="dxa" w:w="1152"/>
            <w:vAlign w:val="top"/>
          </w:tcPr>
          <w:p>
            <w:pPr>
              <w:spacing w:after="40"/>
            </w:pPr>
            <w:r>
              <w:rPr>
                <w:sz w:val="18"/>
              </w:rPr>
              <w:t>Should</w:t>
            </w:r>
          </w:p>
        </w:tc>
        <w:tc>
          <w:tcPr>
            <w:tcW w:type="dxa" w:w="3456"/>
            <w:vAlign w:val="top"/>
          </w:tcPr>
          <w:p>
            <w:pPr>
              <w:spacing w:after="40"/>
            </w:pPr>
            <w:r>
              <w:rPr>
                <w:sz w:val="18"/>
              </w:rPr>
              <w:t>AppShell</w:t>
            </w:r>
          </w:p>
        </w:tc>
        <w:tc>
          <w:tcPr>
            <w:tcW w:type="dxa" w:w="1728"/>
            <w:vAlign w:val="top"/>
          </w:tcPr>
          <w:p>
            <w:pPr>
              <w:spacing w:after="40"/>
            </w:pPr>
            <w:r>
              <w:rPr>
                <w:sz w:val="18"/>
              </w:rPr>
              <w:t>-</w:t>
            </w:r>
          </w:p>
        </w:tc>
        <w:tc>
          <w:tcPr>
            <w:tcW w:type="dxa" w:w="1584"/>
            <w:vAlign w:val="top"/>
          </w:tcPr>
          <w:p>
            <w:pPr>
              <w:spacing w:after="40"/>
            </w:pPr>
            <w:r>
              <w:rPr>
                <w:sz w:val="18"/>
              </w:rPr>
              <w:t>Demo</w:t>
            </w:r>
          </w:p>
        </w:tc>
      </w:tr>
      <w:tr>
        <w:tc>
          <w:tcPr>
            <w:tcW w:type="dxa" w:w="1440"/>
            <w:vAlign w:val="top"/>
          </w:tcPr>
          <w:p>
            <w:pPr>
              <w:spacing w:after="40"/>
            </w:pPr>
            <w:r>
              <w:rPr>
                <w:sz w:val="18"/>
              </w:rPr>
              <w:t>NFR-14</w:t>
            </w:r>
          </w:p>
        </w:tc>
        <w:tc>
          <w:tcPr>
            <w:tcW w:type="dxa" w:w="1152"/>
            <w:vAlign w:val="top"/>
          </w:tcPr>
          <w:p>
            <w:pPr>
              <w:spacing w:after="40"/>
            </w:pPr>
            <w:r>
              <w:rPr>
                <w:sz w:val="18"/>
              </w:rPr>
              <w:t>Must</w:t>
            </w:r>
          </w:p>
        </w:tc>
        <w:tc>
          <w:tcPr>
            <w:tcW w:type="dxa" w:w="3456"/>
            <w:vAlign w:val="top"/>
          </w:tcPr>
          <w:p>
            <w:pPr>
              <w:spacing w:after="40"/>
            </w:pPr>
            <w:r>
              <w:rPr>
                <w:sz w:val="18"/>
              </w:rPr>
              <w:t>SchemaCore</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NFR-15</w:t>
            </w:r>
          </w:p>
        </w:tc>
        <w:tc>
          <w:tcPr>
            <w:tcW w:type="dxa" w:w="1152"/>
            <w:vAlign w:val="top"/>
          </w:tcPr>
          <w:p>
            <w:pPr>
              <w:spacing w:after="40"/>
            </w:pPr>
            <w:r>
              <w:rPr>
                <w:sz w:val="18"/>
              </w:rPr>
              <w:t>Should</w:t>
            </w:r>
          </w:p>
        </w:tc>
        <w:tc>
          <w:tcPr>
            <w:tcW w:type="dxa" w:w="3456"/>
            <w:vAlign w:val="top"/>
          </w:tcPr>
          <w:p>
            <w:pPr>
              <w:spacing w:after="40"/>
            </w:pPr>
            <w:r>
              <w:rPr>
                <w:sz w:val="18"/>
              </w:rPr>
              <w:t>Build and release</w:t>
            </w:r>
          </w:p>
        </w:tc>
        <w:tc>
          <w:tcPr>
            <w:tcW w:type="dxa" w:w="1728"/>
            <w:vAlign w:val="top"/>
          </w:tcPr>
          <w:p>
            <w:pPr>
              <w:spacing w:after="40"/>
            </w:pPr>
            <w:r>
              <w:rPr>
                <w:sz w:val="18"/>
              </w:rPr>
              <w:t>-</w:t>
            </w:r>
          </w:p>
        </w:tc>
        <w:tc>
          <w:tcPr>
            <w:tcW w:type="dxa" w:w="1584"/>
            <w:vAlign w:val="top"/>
          </w:tcPr>
          <w:p>
            <w:pPr>
              <w:spacing w:after="40"/>
            </w:pPr>
            <w:r>
              <w:rPr>
                <w:sz w:val="18"/>
              </w:rPr>
              <w:t>Analysis</w:t>
            </w:r>
          </w:p>
        </w:tc>
      </w:tr>
      <w:tr>
        <w:tc>
          <w:tcPr>
            <w:tcW w:type="dxa" w:w="1440"/>
            <w:vAlign w:val="top"/>
          </w:tcPr>
          <w:p>
            <w:pPr>
              <w:spacing w:after="40"/>
            </w:pPr>
            <w:r>
              <w:rPr>
                <w:sz w:val="18"/>
              </w:rPr>
              <w:t>NFR-16</w:t>
            </w:r>
          </w:p>
        </w:tc>
        <w:tc>
          <w:tcPr>
            <w:tcW w:type="dxa" w:w="1152"/>
            <w:vAlign w:val="top"/>
          </w:tcPr>
          <w:p>
            <w:pPr>
              <w:spacing w:after="40"/>
            </w:pPr>
            <w:r>
              <w:rPr>
                <w:sz w:val="18"/>
              </w:rPr>
              <w:t>Must</w:t>
            </w:r>
          </w:p>
        </w:tc>
        <w:tc>
          <w:tcPr>
            <w:tcW w:type="dxa" w:w="3456"/>
            <w:vAlign w:val="top"/>
          </w:tcPr>
          <w:p>
            <w:pPr>
              <w:spacing w:after="40"/>
            </w:pPr>
            <w:r>
              <w:rPr>
                <w:sz w:val="18"/>
              </w:rPr>
              <w:t>Build and release</w:t>
            </w:r>
          </w:p>
        </w:tc>
        <w:tc>
          <w:tcPr>
            <w:tcW w:type="dxa" w:w="1728"/>
            <w:vAlign w:val="top"/>
          </w:tcPr>
          <w:p>
            <w:pPr>
              <w:spacing w:after="40"/>
            </w:pPr>
            <w:r>
              <w:rPr>
                <w:sz w:val="18"/>
              </w:rPr>
              <w:t>ADR-001</w:t>
            </w:r>
          </w:p>
        </w:tc>
        <w:tc>
          <w:tcPr>
            <w:tcW w:type="dxa" w:w="1584"/>
            <w:vAlign w:val="top"/>
          </w:tcPr>
          <w:p>
            <w:pPr>
              <w:spacing w:after="40"/>
            </w:pPr>
            <w:r>
              <w:rPr>
                <w:sz w:val="18"/>
              </w:rPr>
              <w:t>Test</w:t>
            </w:r>
          </w:p>
        </w:tc>
      </w:tr>
      <w:tr>
        <w:tc>
          <w:tcPr>
            <w:tcW w:type="dxa" w:w="1440"/>
            <w:vAlign w:val="top"/>
          </w:tcPr>
          <w:p>
            <w:pPr>
              <w:spacing w:after="40"/>
            </w:pPr>
            <w:r>
              <w:rPr>
                <w:sz w:val="18"/>
              </w:rPr>
              <w:t>NFR-17</w:t>
            </w:r>
          </w:p>
        </w:tc>
        <w:tc>
          <w:tcPr>
            <w:tcW w:type="dxa" w:w="1152"/>
            <w:vAlign w:val="top"/>
          </w:tcPr>
          <w:p>
            <w:pPr>
              <w:spacing w:after="40"/>
            </w:pPr>
            <w:r>
              <w:rPr>
                <w:sz w:val="18"/>
              </w:rPr>
              <w:t>Must</w:t>
            </w:r>
          </w:p>
        </w:tc>
        <w:tc>
          <w:tcPr>
            <w:tcW w:type="dxa" w:w="3456"/>
            <w:vAlign w:val="top"/>
          </w:tcPr>
          <w:p>
            <w:pPr>
              <w:spacing w:after="40"/>
            </w:pPr>
            <w:r>
              <w:rPr>
                <w:sz w:val="18"/>
              </w:rPr>
              <w:t>AppShell</w:t>
            </w:r>
          </w:p>
        </w:tc>
        <w:tc>
          <w:tcPr>
            <w:tcW w:type="dxa" w:w="1728"/>
            <w:vAlign w:val="top"/>
          </w:tcPr>
          <w:p>
            <w:pPr>
              <w:spacing w:after="40"/>
            </w:pPr>
            <w:r>
              <w:rPr>
                <w:sz w:val="18"/>
              </w:rPr>
              <w:t>-</w:t>
            </w:r>
          </w:p>
        </w:tc>
        <w:tc>
          <w:tcPr>
            <w:tcW w:type="dxa" w:w="1584"/>
            <w:vAlign w:val="top"/>
          </w:tcPr>
          <w:p>
            <w:pPr>
              <w:spacing w:after="40"/>
            </w:pPr>
            <w:r>
              <w:rPr>
                <w:sz w:val="18"/>
              </w:rPr>
              <w:t>Inspection</w:t>
            </w:r>
          </w:p>
        </w:tc>
      </w:tr>
      <w:tr>
        <w:tc>
          <w:tcPr>
            <w:tcW w:type="dxa" w:w="1440"/>
            <w:vAlign w:val="top"/>
          </w:tcPr>
          <w:p>
            <w:pPr>
              <w:spacing w:after="40"/>
            </w:pPr>
            <w:r>
              <w:rPr>
                <w:sz w:val="18"/>
              </w:rPr>
              <w:t>NFR-18</w:t>
            </w:r>
          </w:p>
        </w:tc>
        <w:tc>
          <w:tcPr>
            <w:tcW w:type="dxa" w:w="1152"/>
            <w:vAlign w:val="top"/>
          </w:tcPr>
          <w:p>
            <w:pPr>
              <w:spacing w:after="40"/>
            </w:pPr>
            <w:r>
              <w:rPr>
                <w:sz w:val="18"/>
              </w:rPr>
              <w:t>Must</w:t>
            </w:r>
          </w:p>
        </w:tc>
        <w:tc>
          <w:tcPr>
            <w:tcW w:type="dxa" w:w="3456"/>
            <w:vAlign w:val="top"/>
          </w:tcPr>
          <w:p>
            <w:pPr>
              <w:spacing w:after="40"/>
            </w:pPr>
            <w:r>
              <w:rPr>
                <w:sz w:val="18"/>
              </w:rPr>
              <w:t>AppShell</w:t>
            </w:r>
          </w:p>
        </w:tc>
        <w:tc>
          <w:tcPr>
            <w:tcW w:type="dxa" w:w="1728"/>
            <w:vAlign w:val="top"/>
          </w:tcPr>
          <w:p>
            <w:pPr>
              <w:spacing w:after="40"/>
            </w:pPr>
            <w:r>
              <w:rPr>
                <w:sz w:val="18"/>
              </w:rPr>
              <w:t>-</w:t>
            </w:r>
          </w:p>
        </w:tc>
        <w:tc>
          <w:tcPr>
            <w:tcW w:type="dxa" w:w="1584"/>
            <w:vAlign w:val="top"/>
          </w:tcPr>
          <w:p>
            <w:pPr>
              <w:spacing w:after="40"/>
            </w:pPr>
            <w:r>
              <w:rPr>
                <w:sz w:val="18"/>
              </w:rPr>
              <w:t>Inspection</w:t>
            </w:r>
          </w:p>
        </w:tc>
      </w:tr>
    </w:tbl>
    <w:p>
      <w:pPr>
        <w:spacing w:after="40"/>
      </w:pPr>
    </w:p>
    <w:p>
      <w:pPr>
        <w:pStyle w:val="Heading2"/>
      </w:pPr>
      <w:r>
        <w:t>10.1 Quality scenarios</w:t>
      </w:r>
    </w:p>
    <w:tbl>
      <w:tblPr>
        <w:tblStyle w:val="TableGrid"/>
        <w:tblW w:type="auto" w:w="0"/>
        <w:tblLayout w:type="fixed"/>
        <w:tblLook w:firstColumn="1" w:firstRow="1" w:lastColumn="0" w:lastRow="0" w:noHBand="0" w:noVBand="1" w:val="04A0"/>
      </w:tblPr>
      <w:tblGrid>
        <w:gridCol w:w="1008"/>
        <w:gridCol w:w="3312"/>
        <w:gridCol w:w="1872"/>
        <w:gridCol w:w="3168"/>
      </w:tblGrid>
      <w:tr>
        <w:trPr>
          <w:tblHeader w:val="true"/>
        </w:trPr>
        <w:tc>
          <w:tcPr>
            <w:tcW w:type="dxa" w:w="1008"/>
            <w:shd w:val="clear" w:color="auto" w:fill="D9E2F3"/>
          </w:tcPr>
          <w:p>
            <w:r/>
            <w:r>
              <w:rPr>
                <w:b/>
                <w:sz w:val="19"/>
              </w:rPr>
              <w:t>QS</w:t>
            </w:r>
          </w:p>
        </w:tc>
        <w:tc>
          <w:tcPr>
            <w:tcW w:type="dxa" w:w="3312"/>
            <w:shd w:val="clear" w:color="auto" w:fill="D9E2F3"/>
          </w:tcPr>
          <w:p>
            <w:r/>
            <w:r>
              <w:rPr>
                <w:b/>
                <w:sz w:val="19"/>
              </w:rPr>
              <w:t>Component</w:t>
            </w:r>
          </w:p>
        </w:tc>
        <w:tc>
          <w:tcPr>
            <w:tcW w:type="dxa" w:w="1872"/>
            <w:shd w:val="clear" w:color="auto" w:fill="D9E2F3"/>
          </w:tcPr>
          <w:p>
            <w:r/>
            <w:r>
              <w:rPr>
                <w:b/>
                <w:sz w:val="19"/>
              </w:rPr>
              <w:t>View</w:t>
            </w:r>
          </w:p>
        </w:tc>
        <w:tc>
          <w:tcPr>
            <w:tcW w:type="dxa" w:w="3168"/>
            <w:shd w:val="clear" w:color="auto" w:fill="D9E2F3"/>
          </w:tcPr>
          <w:p>
            <w:r/>
            <w:r>
              <w:rPr>
                <w:b/>
                <w:sz w:val="19"/>
              </w:rPr>
              <w:t>Verification</w:t>
            </w:r>
          </w:p>
        </w:tc>
      </w:tr>
      <w:tr>
        <w:tc>
          <w:tcPr>
            <w:tcW w:type="dxa" w:w="1008"/>
            <w:vAlign w:val="top"/>
          </w:tcPr>
          <w:p>
            <w:pPr>
              <w:spacing w:after="40"/>
            </w:pPr>
            <w:r>
              <w:rPr>
                <w:sz w:val="19"/>
              </w:rPr>
              <w:t>QS-01</w:t>
            </w:r>
          </w:p>
        </w:tc>
        <w:tc>
          <w:tcPr>
            <w:tcW w:type="dxa" w:w="3312"/>
            <w:vAlign w:val="top"/>
          </w:tcPr>
          <w:p>
            <w:pPr>
              <w:spacing w:after="40"/>
            </w:pPr>
            <w:r>
              <w:rPr>
                <w:sz w:val="19"/>
              </w:rPr>
              <w:t>SearchIndex</w:t>
            </w:r>
          </w:p>
        </w:tc>
        <w:tc>
          <w:tcPr>
            <w:tcW w:type="dxa" w:w="1872"/>
            <w:vAlign w:val="top"/>
          </w:tcPr>
          <w:p>
            <w:pPr>
              <w:spacing w:after="40"/>
            </w:pPr>
            <w:r>
              <w:rPr>
                <w:sz w:val="19"/>
              </w:rPr>
              <w:t>Figure 3</w:t>
            </w:r>
          </w:p>
        </w:tc>
        <w:tc>
          <w:tcPr>
            <w:tcW w:type="dxa" w:w="3168"/>
            <w:vAlign w:val="top"/>
          </w:tcPr>
          <w:p>
            <w:pPr>
              <w:spacing w:after="40"/>
            </w:pPr>
            <w:r>
              <w:rPr>
                <w:sz w:val="19"/>
              </w:rPr>
              <w:t>Test: input-latency timing on the reference phone</w:t>
            </w:r>
          </w:p>
        </w:tc>
      </w:tr>
      <w:tr>
        <w:tc>
          <w:tcPr>
            <w:tcW w:type="dxa" w:w="1008"/>
            <w:vAlign w:val="top"/>
          </w:tcPr>
          <w:p>
            <w:pPr>
              <w:spacing w:after="40"/>
            </w:pPr>
            <w:r>
              <w:rPr>
                <w:sz w:val="19"/>
              </w:rPr>
              <w:t>QS-02</w:t>
            </w:r>
          </w:p>
        </w:tc>
        <w:tc>
          <w:tcPr>
            <w:tcW w:type="dxa" w:w="3312"/>
            <w:vAlign w:val="top"/>
          </w:tcPr>
          <w:p>
            <w:pPr>
              <w:spacing w:after="40"/>
            </w:pPr>
            <w:r>
              <w:rPr>
                <w:sz w:val="19"/>
              </w:rPr>
              <w:t>AppShell, CardCatalog</w:t>
            </w:r>
          </w:p>
        </w:tc>
        <w:tc>
          <w:tcPr>
            <w:tcW w:type="dxa" w:w="1872"/>
            <w:vAlign w:val="top"/>
          </w:tcPr>
          <w:p>
            <w:pPr>
              <w:spacing w:after="40"/>
            </w:pPr>
            <w:r>
              <w:rPr>
                <w:sz w:val="19"/>
              </w:rPr>
              <w:t>Figures 2, 6</w:t>
            </w:r>
          </w:p>
        </w:tc>
        <w:tc>
          <w:tcPr>
            <w:tcW w:type="dxa" w:w="3168"/>
            <w:vAlign w:val="top"/>
          </w:tcPr>
          <w:p>
            <w:pPr>
              <w:spacing w:after="40"/>
            </w:pPr>
            <w:r>
              <w:rPr>
                <w:sz w:val="19"/>
              </w:rPr>
              <w:t>Test: Lighthouse or timed navigation</w:t>
            </w:r>
          </w:p>
        </w:tc>
      </w:tr>
      <w:tr>
        <w:tc>
          <w:tcPr>
            <w:tcW w:type="dxa" w:w="1008"/>
            <w:vAlign w:val="top"/>
          </w:tcPr>
          <w:p>
            <w:pPr>
              <w:spacing w:after="40"/>
            </w:pPr>
            <w:r>
              <w:rPr>
                <w:sz w:val="19"/>
              </w:rPr>
              <w:t>QS-03</w:t>
            </w:r>
          </w:p>
        </w:tc>
        <w:tc>
          <w:tcPr>
            <w:tcW w:type="dxa" w:w="3312"/>
            <w:vAlign w:val="top"/>
          </w:tcPr>
          <w:p>
            <w:pPr>
              <w:spacing w:after="40"/>
            </w:pPr>
            <w:r>
              <w:rPr>
                <w:sz w:val="19"/>
              </w:rPr>
              <w:t>DataPipeline</w:t>
            </w:r>
          </w:p>
        </w:tc>
        <w:tc>
          <w:tcPr>
            <w:tcW w:type="dxa" w:w="1872"/>
            <w:vAlign w:val="top"/>
          </w:tcPr>
          <w:p>
            <w:pPr>
              <w:spacing w:after="40"/>
            </w:pPr>
            <w:r>
              <w:rPr>
                <w:sz w:val="19"/>
              </w:rPr>
              <w:t>Figure 6</w:t>
            </w:r>
          </w:p>
        </w:tc>
        <w:tc>
          <w:tcPr>
            <w:tcW w:type="dxa" w:w="3168"/>
            <w:vAlign w:val="top"/>
          </w:tcPr>
          <w:p>
            <w:pPr>
              <w:spacing w:after="40"/>
            </w:pPr>
            <w:r>
              <w:rPr>
                <w:sz w:val="19"/>
              </w:rPr>
              <w:t>Test: inject invalid record in CI fixture</w:t>
            </w:r>
          </w:p>
        </w:tc>
      </w:tr>
      <w:tr>
        <w:tc>
          <w:tcPr>
            <w:tcW w:type="dxa" w:w="1008"/>
            <w:vAlign w:val="top"/>
          </w:tcPr>
          <w:p>
            <w:pPr>
              <w:spacing w:after="40"/>
            </w:pPr>
            <w:r>
              <w:rPr>
                <w:sz w:val="19"/>
              </w:rPr>
              <w:t>QS-04</w:t>
            </w:r>
          </w:p>
        </w:tc>
        <w:tc>
          <w:tcPr>
            <w:tcW w:type="dxa" w:w="3312"/>
            <w:vAlign w:val="top"/>
          </w:tcPr>
          <w:p>
            <w:pPr>
              <w:spacing w:after="40"/>
            </w:pPr>
            <w:r>
              <w:rPr>
                <w:sz w:val="19"/>
              </w:rPr>
              <w:t>AuthClient, DeckStore</w:t>
            </w:r>
          </w:p>
        </w:tc>
        <w:tc>
          <w:tcPr>
            <w:tcW w:type="dxa" w:w="1872"/>
            <w:vAlign w:val="top"/>
          </w:tcPr>
          <w:p>
            <w:pPr>
              <w:spacing w:after="40"/>
            </w:pPr>
            <w:r>
              <w:rPr>
                <w:sz w:val="19"/>
              </w:rPr>
              <w:t>Figures 4, 8</w:t>
            </w:r>
          </w:p>
        </w:tc>
        <w:tc>
          <w:tcPr>
            <w:tcW w:type="dxa" w:w="3168"/>
            <w:vAlign w:val="top"/>
          </w:tcPr>
          <w:p>
            <w:pPr>
              <w:spacing w:after="40"/>
            </w:pPr>
            <w:r>
              <w:rPr>
                <w:sz w:val="19"/>
              </w:rPr>
              <w:t>Test: UC-07 across two browsers; decline then re-sign-in does not re-prompt for the same draft</w:t>
            </w:r>
          </w:p>
        </w:tc>
      </w:tr>
      <w:tr>
        <w:tc>
          <w:tcPr>
            <w:tcW w:type="dxa" w:w="1008"/>
            <w:vAlign w:val="top"/>
          </w:tcPr>
          <w:p>
            <w:pPr>
              <w:spacing w:after="40"/>
            </w:pPr>
            <w:r>
              <w:rPr>
                <w:sz w:val="19"/>
              </w:rPr>
              <w:t>QS-05</w:t>
            </w:r>
          </w:p>
        </w:tc>
        <w:tc>
          <w:tcPr>
            <w:tcW w:type="dxa" w:w="3312"/>
            <w:vAlign w:val="top"/>
          </w:tcPr>
          <w:p>
            <w:pPr>
              <w:spacing w:after="40"/>
            </w:pPr>
            <w:r>
              <w:rPr>
                <w:sz w:val="19"/>
              </w:rPr>
              <w:t>ShareService</w:t>
            </w:r>
          </w:p>
        </w:tc>
        <w:tc>
          <w:tcPr>
            <w:tcW w:type="dxa" w:w="1872"/>
            <w:vAlign w:val="top"/>
          </w:tcPr>
          <w:p>
            <w:pPr>
              <w:spacing w:after="40"/>
            </w:pPr>
            <w:r>
              <w:rPr>
                <w:sz w:val="19"/>
              </w:rPr>
              <w:t>Figure 4</w:t>
            </w:r>
          </w:p>
        </w:tc>
        <w:tc>
          <w:tcPr>
            <w:tcW w:type="dxa" w:w="3168"/>
            <w:vAlign w:val="top"/>
          </w:tcPr>
          <w:p>
            <w:pPr>
              <w:spacing w:after="40"/>
            </w:pPr>
            <w:r>
              <w:rPr>
                <w:sz w:val="19"/>
              </w:rPr>
              <w:t>Test: UC-08 create, open, revoke</w:t>
            </w:r>
          </w:p>
        </w:tc>
      </w:tr>
      <w:tr>
        <w:tc>
          <w:tcPr>
            <w:tcW w:type="dxa" w:w="1008"/>
            <w:vAlign w:val="top"/>
          </w:tcPr>
          <w:p>
            <w:pPr>
              <w:spacing w:after="40"/>
            </w:pPr>
            <w:r>
              <w:rPr>
                <w:sz w:val="19"/>
              </w:rPr>
              <w:t>QS-06</w:t>
            </w:r>
          </w:p>
        </w:tc>
        <w:tc>
          <w:tcPr>
            <w:tcW w:type="dxa" w:w="3312"/>
            <w:vAlign w:val="top"/>
          </w:tcPr>
          <w:p>
            <w:pPr>
              <w:spacing w:after="40"/>
            </w:pPr>
            <w:r>
              <w:rPr>
                <w:sz w:val="19"/>
              </w:rPr>
              <w:t>AuthClient, DeckStore, ShareService</w:t>
            </w:r>
          </w:p>
        </w:tc>
        <w:tc>
          <w:tcPr>
            <w:tcW w:type="dxa" w:w="1872"/>
            <w:vAlign w:val="top"/>
          </w:tcPr>
          <w:p>
            <w:pPr>
              <w:spacing w:after="40"/>
            </w:pPr>
            <w:r>
              <w:rPr>
                <w:sz w:val="19"/>
              </w:rPr>
              <w:t>Figure 8</w:t>
            </w:r>
          </w:p>
        </w:tc>
        <w:tc>
          <w:tcPr>
            <w:tcW w:type="dxa" w:w="3168"/>
            <w:vAlign w:val="top"/>
          </w:tcPr>
          <w:p>
            <w:pPr>
              <w:spacing w:after="40"/>
            </w:pPr>
            <w:r>
              <w:rPr>
                <w:sz w:val="19"/>
              </w:rPr>
              <w:t>Test: delete account; cannot sign in and decks/shares gone at once; confirm no live rows remain</w:t>
            </w:r>
          </w:p>
        </w:tc>
      </w:tr>
      <w:tr>
        <w:tc>
          <w:tcPr>
            <w:tcW w:type="dxa" w:w="1008"/>
            <w:vAlign w:val="top"/>
          </w:tcPr>
          <w:p>
            <w:pPr>
              <w:spacing w:after="40"/>
            </w:pPr>
            <w:r>
              <w:rPr>
                <w:sz w:val="19"/>
              </w:rPr>
              <w:t>QS-07</w:t>
            </w:r>
          </w:p>
        </w:tc>
        <w:tc>
          <w:tcPr>
            <w:tcW w:type="dxa" w:w="3312"/>
            <w:vAlign w:val="top"/>
          </w:tcPr>
          <w:p>
            <w:pPr>
              <w:spacing w:after="40"/>
            </w:pPr>
            <w:r>
              <w:rPr>
                <w:sz w:val="19"/>
              </w:rPr>
              <w:t>AppShell, DeckBuilder</w:t>
            </w:r>
          </w:p>
        </w:tc>
        <w:tc>
          <w:tcPr>
            <w:tcW w:type="dxa" w:w="1872"/>
            <w:vAlign w:val="top"/>
          </w:tcPr>
          <w:p>
            <w:pPr>
              <w:spacing w:after="40"/>
            </w:pPr>
            <w:r>
              <w:rPr>
                <w:sz w:val="19"/>
              </w:rPr>
              <w:t>Figure 7</w:t>
            </w:r>
          </w:p>
        </w:tc>
        <w:tc>
          <w:tcPr>
            <w:tcW w:type="dxa" w:w="3168"/>
            <w:vAlign w:val="top"/>
          </w:tcPr>
          <w:p>
            <w:pPr>
              <w:spacing w:after="40"/>
            </w:pPr>
            <w:r>
              <w:rPr>
                <w:sz w:val="19"/>
              </w:rPr>
              <w:t>Test: keyboard path plus axe</w:t>
            </w:r>
          </w:p>
        </w:tc>
      </w:tr>
    </w:tbl>
    <w:p>
      <w:pPr>
        <w:spacing w:after="40"/>
      </w:pPr>
    </w:p>
    <w:p>
      <w:pPr>
        <w:pStyle w:val="Heading1"/>
      </w:pPr>
      <w:r>
        <w:t>11. Open decisions</w:t>
      </w:r>
    </w:p>
    <w:p>
      <w:r>
        <w:t>These SRS decisions are already decided for v1; they are listed for traceability. IDs match the SRS.</w:t>
      </w:r>
    </w:p>
    <w:tbl>
      <w:tblPr>
        <w:tblStyle w:val="TableGrid"/>
        <w:tblW w:type="auto" w:w="0"/>
        <w:tblLayout w:type="fixed"/>
        <w:tblLook w:firstColumn="1" w:firstRow="1" w:lastColumn="0" w:lastRow="0" w:noHBand="0" w:noVBand="1" w:val="04A0"/>
      </w:tblPr>
      <w:tblGrid>
        <w:gridCol w:w="864"/>
        <w:gridCol w:w="3456"/>
        <w:gridCol w:w="3456"/>
        <w:gridCol w:w="1584"/>
      </w:tblGrid>
      <w:tr>
        <w:trPr>
          <w:tblHeader w:val="true"/>
        </w:trPr>
        <w:tc>
          <w:tcPr>
            <w:tcW w:type="dxa" w:w="864"/>
            <w:shd w:val="clear" w:color="auto" w:fill="D9E2F3"/>
          </w:tcPr>
          <w:p>
            <w:r/>
            <w:r>
              <w:rPr>
                <w:b/>
                <w:sz w:val="18"/>
              </w:rPr>
              <w:t>ID</w:t>
            </w:r>
          </w:p>
        </w:tc>
        <w:tc>
          <w:tcPr>
            <w:tcW w:type="dxa" w:w="3456"/>
            <w:shd w:val="clear" w:color="auto" w:fill="D9E2F3"/>
          </w:tcPr>
          <w:p>
            <w:r/>
            <w:r>
              <w:rPr>
                <w:b/>
                <w:sz w:val="18"/>
              </w:rPr>
              <w:t>Question</w:t>
            </w:r>
          </w:p>
        </w:tc>
        <w:tc>
          <w:tcPr>
            <w:tcW w:type="dxa" w:w="3456"/>
            <w:shd w:val="clear" w:color="auto" w:fill="D9E2F3"/>
          </w:tcPr>
          <w:p>
            <w:r/>
            <w:r>
              <w:rPr>
                <w:b/>
                <w:sz w:val="18"/>
              </w:rPr>
              <w:t>Decision</w:t>
            </w:r>
          </w:p>
        </w:tc>
        <w:tc>
          <w:tcPr>
            <w:tcW w:type="dxa" w:w="1584"/>
            <w:shd w:val="clear" w:color="auto" w:fill="D9E2F3"/>
          </w:tcPr>
          <w:p>
            <w:r/>
            <w:r>
              <w:rPr>
                <w:b/>
                <w:sz w:val="18"/>
              </w:rPr>
              <w:t>Status</w:t>
            </w:r>
          </w:p>
        </w:tc>
      </w:tr>
      <w:tr>
        <w:tc>
          <w:tcPr>
            <w:tcW w:type="dxa" w:w="864"/>
            <w:vAlign w:val="top"/>
          </w:tcPr>
          <w:p>
            <w:pPr>
              <w:spacing w:after="40"/>
            </w:pPr>
            <w:r>
              <w:rPr>
                <w:sz w:val="18"/>
              </w:rPr>
              <w:t>OD-01</w:t>
            </w:r>
          </w:p>
        </w:tc>
        <w:tc>
          <w:tcPr>
            <w:tcW w:type="dxa" w:w="3456"/>
            <w:vAlign w:val="top"/>
          </w:tcPr>
          <w:p>
            <w:pPr>
              <w:spacing w:after="40"/>
            </w:pPr>
            <w:r>
              <w:rPr>
                <w:sz w:val="18"/>
              </w:rPr>
              <w:t>How are historical formats and banlists sourced?</w:t>
            </w:r>
          </w:p>
        </w:tc>
        <w:tc>
          <w:tcPr>
            <w:tcW w:type="dxa" w:w="3456"/>
            <w:vAlign w:val="top"/>
          </w:tcPr>
          <w:p>
            <w:pPr>
              <w:spacing w:after="40"/>
            </w:pPr>
            <w:r>
              <w:rPr>
                <w:sz w:val="18"/>
              </w:rPr>
              <w:t>A — hand-curate; Format Library UX only; no scrape.</w:t>
            </w:r>
          </w:p>
        </w:tc>
        <w:tc>
          <w:tcPr>
            <w:tcW w:type="dxa" w:w="1584"/>
            <w:vAlign w:val="top"/>
          </w:tcPr>
          <w:p>
            <w:pPr>
              <w:spacing w:after="40"/>
            </w:pPr>
            <w:r>
              <w:rPr>
                <w:sz w:val="18"/>
              </w:rPr>
              <w:t>Decided 2026-10-27</w:t>
            </w:r>
          </w:p>
        </w:tc>
      </w:tr>
      <w:tr>
        <w:tc>
          <w:tcPr>
            <w:tcW w:type="dxa" w:w="864"/>
            <w:vAlign w:val="top"/>
          </w:tcPr>
          <w:p>
            <w:pPr>
              <w:spacing w:after="40"/>
            </w:pPr>
            <w:r>
              <w:rPr>
                <w:sz w:val="18"/>
              </w:rPr>
              <w:t>OD-02</w:t>
            </w:r>
          </w:p>
        </w:tc>
        <w:tc>
          <w:tcPr>
            <w:tcW w:type="dxa" w:w="3456"/>
            <w:vAlign w:val="top"/>
          </w:tcPr>
          <w:p>
            <w:pPr>
              <w:spacing w:after="40"/>
            </w:pPr>
            <w:r>
              <w:rPr>
                <w:sz w:val="18"/>
              </w:rPr>
              <w:t>Where do accounts and saved decks live?</w:t>
            </w:r>
          </w:p>
        </w:tc>
        <w:tc>
          <w:tcPr>
            <w:tcW w:type="dxa" w:w="3456"/>
            <w:vAlign w:val="top"/>
          </w:tcPr>
          <w:p>
            <w:pPr>
              <w:spacing w:after="40"/>
            </w:pPr>
            <w:r>
              <w:rPr>
                <w:sz w:val="18"/>
              </w:rPr>
              <w:t>A — Supabase for auth and deck DB; static UI on GitHub Pages or the same host.</w:t>
            </w:r>
          </w:p>
        </w:tc>
        <w:tc>
          <w:tcPr>
            <w:tcW w:type="dxa" w:w="1584"/>
            <w:vAlign w:val="top"/>
          </w:tcPr>
          <w:p>
            <w:pPr>
              <w:spacing w:after="40"/>
            </w:pPr>
            <w:r>
              <w:rPr>
                <w:sz w:val="18"/>
              </w:rPr>
              <w:t>Decided 2026-10-27</w:t>
            </w:r>
          </w:p>
        </w:tc>
      </w:tr>
      <w:tr>
        <w:tc>
          <w:tcPr>
            <w:tcW w:type="dxa" w:w="864"/>
            <w:vAlign w:val="top"/>
          </w:tcPr>
          <w:p>
            <w:pPr>
              <w:spacing w:after="40"/>
            </w:pPr>
            <w:r>
              <w:rPr>
                <w:sz w:val="18"/>
              </w:rPr>
              <w:t>OD-03</w:t>
            </w:r>
          </w:p>
        </w:tc>
        <w:tc>
          <w:tcPr>
            <w:tcW w:type="dxa" w:w="3456"/>
            <w:vAlign w:val="top"/>
          </w:tcPr>
          <w:p>
            <w:pPr>
              <w:spacing w:after="40"/>
            </w:pPr>
            <w:r>
              <w:rPr>
                <w:sz w:val="18"/>
              </w:rPr>
              <w:t>What does "live" prices mean in v1?</w:t>
            </w:r>
          </w:p>
        </w:tc>
        <w:tc>
          <w:tcPr>
            <w:tcW w:type="dxa" w:w="3456"/>
            <w:vAlign w:val="top"/>
          </w:tcPr>
          <w:p>
            <w:pPr>
              <w:spacing w:after="40"/>
            </w:pPr>
            <w:r>
              <w:rPr>
                <w:sz w:val="18"/>
              </w:rPr>
              <w:t>A — weekly (and manual) YGOPRODeck prices; outbound store links; no TCGplayer API.</w:t>
            </w:r>
          </w:p>
        </w:tc>
        <w:tc>
          <w:tcPr>
            <w:tcW w:type="dxa" w:w="1584"/>
            <w:vAlign w:val="top"/>
          </w:tcPr>
          <w:p>
            <w:pPr>
              <w:spacing w:after="40"/>
            </w:pPr>
            <w:r>
              <w:rPr>
                <w:sz w:val="18"/>
              </w:rPr>
              <w:t>Decided 2026-10-27</w:t>
            </w:r>
          </w:p>
        </w:tc>
      </w:tr>
      <w:tr>
        <w:tc>
          <w:tcPr>
            <w:tcW w:type="dxa" w:w="864"/>
            <w:vAlign w:val="top"/>
          </w:tcPr>
          <w:p>
            <w:pPr>
              <w:spacing w:after="40"/>
            </w:pPr>
            <w:r>
              <w:rPr>
                <w:sz w:val="18"/>
              </w:rPr>
              <w:t>OD-04</w:t>
            </w:r>
          </w:p>
        </w:tc>
        <w:tc>
          <w:tcPr>
            <w:tcW w:type="dxa" w:w="3456"/>
            <w:vAlign w:val="top"/>
          </w:tcPr>
          <w:p>
            <w:pPr>
              <w:spacing w:after="40"/>
            </w:pPr>
            <w:r>
              <w:rPr>
                <w:sz w:val="18"/>
              </w:rPr>
              <w:t>Which client stack ships?</w:t>
            </w:r>
          </w:p>
        </w:tc>
        <w:tc>
          <w:tcPr>
            <w:tcW w:type="dxa" w:w="3456"/>
            <w:vAlign w:val="top"/>
          </w:tcPr>
          <w:p>
            <w:pPr>
              <w:spacing w:after="40"/>
            </w:pPr>
            <w:r>
              <w:rPr>
                <w:sz w:val="18"/>
              </w:rPr>
              <w:t>A — Vite, React, TypeScript, Tailwind, Vitest, Playwright.</w:t>
            </w:r>
          </w:p>
        </w:tc>
        <w:tc>
          <w:tcPr>
            <w:tcW w:type="dxa" w:w="1584"/>
            <w:vAlign w:val="top"/>
          </w:tcPr>
          <w:p>
            <w:pPr>
              <w:spacing w:after="40"/>
            </w:pPr>
            <w:r>
              <w:rPr>
                <w:sz w:val="18"/>
              </w:rPr>
              <w:t>Decided 2026-10-27</w:t>
            </w:r>
          </w:p>
        </w:tc>
      </w:tr>
      <w:tr>
        <w:tc>
          <w:tcPr>
            <w:tcW w:type="dxa" w:w="864"/>
            <w:vAlign w:val="top"/>
          </w:tcPr>
          <w:p>
            <w:pPr>
              <w:spacing w:after="40"/>
            </w:pPr>
            <w:r>
              <w:rPr>
                <w:sz w:val="18"/>
              </w:rPr>
              <w:t>OD-05</w:t>
            </w:r>
          </w:p>
        </w:tc>
        <w:tc>
          <w:tcPr>
            <w:tcW w:type="dxa" w:w="3456"/>
            <w:vAlign w:val="top"/>
          </w:tcPr>
          <w:p>
            <w:pPr>
              <w:spacing w:after="40"/>
            </w:pPr>
            <w:r>
              <w:rPr>
                <w:sz w:val="18"/>
              </w:rPr>
              <w:t>Which formats ship in v1?</w:t>
            </w:r>
          </w:p>
        </w:tc>
        <w:tc>
          <w:tcPr>
            <w:tcW w:type="dxa" w:w="3456"/>
            <w:vAlign w:val="top"/>
          </w:tcPr>
          <w:p>
            <w:pPr>
              <w:spacing w:after="40"/>
            </w:pPr>
            <w:r>
              <w:rPr>
                <w:sz w:val="18"/>
              </w:rPr>
              <w:t>B — Must set as listed; all other formats Could/later (e.g. TeleDAD).</w:t>
            </w:r>
          </w:p>
        </w:tc>
        <w:tc>
          <w:tcPr>
            <w:tcW w:type="dxa" w:w="1584"/>
            <w:vAlign w:val="top"/>
          </w:tcPr>
          <w:p>
            <w:pPr>
              <w:spacing w:after="40"/>
            </w:pPr>
            <w:r>
              <w:rPr>
                <w:sz w:val="18"/>
              </w:rPr>
              <w:t>Decided 2026-10-27</w:t>
            </w:r>
          </w:p>
        </w:tc>
      </w:tr>
      <w:tr>
        <w:tc>
          <w:tcPr>
            <w:tcW w:type="dxa" w:w="864"/>
            <w:vAlign w:val="top"/>
          </w:tcPr>
          <w:p>
            <w:pPr>
              <w:spacing w:after="40"/>
            </w:pPr>
            <w:r>
              <w:rPr>
                <w:sz w:val="18"/>
              </w:rPr>
              <w:t>OD-06</w:t>
            </w:r>
          </w:p>
        </w:tc>
        <w:tc>
          <w:tcPr>
            <w:tcW w:type="dxa" w:w="3456"/>
            <w:vAlign w:val="top"/>
          </w:tcPr>
          <w:p>
            <w:pPr>
              <w:spacing w:after="40"/>
            </w:pPr>
            <w:r>
              <w:rPr>
                <w:sz w:val="18"/>
              </w:rPr>
              <w:t>Which sign-in methods?</w:t>
            </w:r>
          </w:p>
        </w:tc>
        <w:tc>
          <w:tcPr>
            <w:tcW w:type="dxa" w:w="3456"/>
            <w:vAlign w:val="top"/>
          </w:tcPr>
          <w:p>
            <w:pPr>
              <w:spacing w:after="40"/>
            </w:pPr>
            <w:r>
              <w:rPr>
                <w:sz w:val="18"/>
              </w:rPr>
              <w:t>B — email/password + Google OAuth.</w:t>
            </w:r>
          </w:p>
        </w:tc>
        <w:tc>
          <w:tcPr>
            <w:tcW w:type="dxa" w:w="1584"/>
            <w:vAlign w:val="top"/>
          </w:tcPr>
          <w:p>
            <w:pPr>
              <w:spacing w:after="40"/>
            </w:pPr>
            <w:r>
              <w:rPr>
                <w:sz w:val="18"/>
              </w:rPr>
              <w:t>Decided 2026-10-27</w:t>
            </w:r>
          </w:p>
        </w:tc>
      </w:tr>
      <w:tr>
        <w:tc>
          <w:tcPr>
            <w:tcW w:type="dxa" w:w="864"/>
            <w:vAlign w:val="top"/>
          </w:tcPr>
          <w:p>
            <w:pPr>
              <w:spacing w:after="40"/>
            </w:pPr>
            <w:r>
              <w:rPr>
                <w:sz w:val="18"/>
              </w:rPr>
              <w:t>OD-07</w:t>
            </w:r>
          </w:p>
        </w:tc>
        <w:tc>
          <w:tcPr>
            <w:tcW w:type="dxa" w:w="3456"/>
            <w:vAlign w:val="top"/>
          </w:tcPr>
          <w:p>
            <w:pPr>
              <w:spacing w:after="40"/>
            </w:pPr>
            <w:r>
              <w:rPr>
                <w:sz w:val="18"/>
              </w:rPr>
              <w:t>How does deck sharing work?</w:t>
            </w:r>
          </w:p>
        </w:tc>
        <w:tc>
          <w:tcPr>
            <w:tcW w:type="dxa" w:w="3456"/>
            <w:vAlign w:val="top"/>
          </w:tcPr>
          <w:p>
            <w:pPr>
              <w:spacing w:after="40"/>
            </w:pPr>
            <w:r>
              <w:rPr>
                <w:sz w:val="18"/>
              </w:rPr>
              <w:t>A — public read-only opaque link; owner can revoke.</w:t>
            </w:r>
          </w:p>
        </w:tc>
        <w:tc>
          <w:tcPr>
            <w:tcW w:type="dxa" w:w="1584"/>
            <w:vAlign w:val="top"/>
          </w:tcPr>
          <w:p>
            <w:pPr>
              <w:spacing w:after="40"/>
            </w:pPr>
            <w:r>
              <w:rPr>
                <w:sz w:val="18"/>
              </w:rPr>
              <w:t>Decided 2026-10-27</w:t>
            </w:r>
          </w:p>
        </w:tc>
      </w:tr>
      <w:tr>
        <w:tc>
          <w:tcPr>
            <w:tcW w:type="dxa" w:w="864"/>
            <w:vAlign w:val="top"/>
          </w:tcPr>
          <w:p>
            <w:pPr>
              <w:spacing w:after="40"/>
            </w:pPr>
            <w:r>
              <w:rPr>
                <w:sz w:val="18"/>
              </w:rPr>
              <w:t>OD-08</w:t>
            </w:r>
          </w:p>
        </w:tc>
        <w:tc>
          <w:tcPr>
            <w:tcW w:type="dxa" w:w="3456"/>
            <w:vAlign w:val="top"/>
          </w:tcPr>
          <w:p>
            <w:pPr>
              <w:spacing w:after="40"/>
            </w:pPr>
            <w:r>
              <w:rPr>
                <w:sz w:val="18"/>
              </w:rPr>
              <w:t>Which vendor prices and links are shown?</w:t>
            </w:r>
          </w:p>
        </w:tc>
        <w:tc>
          <w:tcPr>
            <w:tcW w:type="dxa" w:w="3456"/>
            <w:vAlign w:val="top"/>
          </w:tcPr>
          <w:p>
            <w:pPr>
              <w:spacing w:after="40"/>
            </w:pPr>
            <w:r>
              <w:rPr>
                <w:sz w:val="18"/>
              </w:rPr>
              <w:t>A — TCGplayer, CoolStuffInc, and Cardmarket.</w:t>
            </w:r>
          </w:p>
        </w:tc>
        <w:tc>
          <w:tcPr>
            <w:tcW w:type="dxa" w:w="1584"/>
            <w:vAlign w:val="top"/>
          </w:tcPr>
          <w:p>
            <w:pPr>
              <w:spacing w:after="40"/>
            </w:pPr>
            <w:r>
              <w:rPr>
                <w:sz w:val="18"/>
              </w:rPr>
              <w:t>Decided 2026-10-27</w:t>
            </w:r>
          </w:p>
        </w:tc>
      </w:tr>
      <w:tr>
        <w:tc>
          <w:tcPr>
            <w:tcW w:type="dxa" w:w="864"/>
            <w:vAlign w:val="top"/>
          </w:tcPr>
          <w:p>
            <w:pPr>
              <w:spacing w:after="40"/>
            </w:pPr>
            <w:r>
              <w:rPr>
                <w:sz w:val="18"/>
              </w:rPr>
              <w:t>OD-09</w:t>
            </w:r>
          </w:p>
        </w:tc>
        <w:tc>
          <w:tcPr>
            <w:tcW w:type="dxa" w:w="3456"/>
            <w:vAlign w:val="top"/>
          </w:tcPr>
          <w:p>
            <w:pPr>
              <w:spacing w:after="40"/>
            </w:pPr>
            <w:r>
              <w:rPr>
                <w:sz w:val="18"/>
              </w:rPr>
              <w:t>What is the public site base path?</w:t>
            </w:r>
          </w:p>
        </w:tc>
        <w:tc>
          <w:tcPr>
            <w:tcW w:type="dxa" w:w="3456"/>
            <w:vAlign w:val="top"/>
          </w:tcPr>
          <w:p>
            <w:pPr>
              <w:spacing w:after="40"/>
            </w:pPr>
            <w:r>
              <w:rPr>
                <w:sz w:val="18"/>
              </w:rPr>
              <w:t xml:space="preserve">A — </w:t>
            </w:r>
            <w:r>
              <w:rPr>
                <w:rFonts w:ascii="Consolas" w:hAnsi="Consolas"/>
                <w:sz w:val="18"/>
              </w:rPr>
              <w:t>/otcp/</w:t>
            </w:r>
            <w:r>
              <w:rPr>
                <w:sz w:val="18"/>
              </w:rPr>
              <w:t xml:space="preserve"> unless a custom domain is chosen later.</w:t>
            </w:r>
          </w:p>
        </w:tc>
        <w:tc>
          <w:tcPr>
            <w:tcW w:type="dxa" w:w="1584"/>
            <w:vAlign w:val="top"/>
          </w:tcPr>
          <w:p>
            <w:pPr>
              <w:spacing w:after="40"/>
            </w:pPr>
            <w:r>
              <w:rPr>
                <w:sz w:val="18"/>
              </w:rPr>
              <w:t>Decided 2026-10-27</w:t>
            </w:r>
          </w:p>
        </w:tc>
      </w:tr>
      <w:tr>
        <w:tc>
          <w:tcPr>
            <w:tcW w:type="dxa" w:w="864"/>
            <w:vAlign w:val="top"/>
          </w:tcPr>
          <w:p>
            <w:pPr>
              <w:spacing w:after="40"/>
            </w:pPr>
            <w:r>
              <w:rPr>
                <w:sz w:val="18"/>
              </w:rPr>
              <w:t>OD-10</w:t>
            </w:r>
          </w:p>
        </w:tc>
        <w:tc>
          <w:tcPr>
            <w:tcW w:type="dxa" w:w="3456"/>
            <w:vAlign w:val="top"/>
          </w:tcPr>
          <w:p>
            <w:pPr>
              <w:spacing w:after="40"/>
            </w:pPr>
            <w:r>
              <w:rPr>
                <w:sz w:val="18"/>
              </w:rPr>
              <w:t>How soon after account deletion are personal decks removed?</w:t>
            </w:r>
          </w:p>
        </w:tc>
        <w:tc>
          <w:tcPr>
            <w:tcW w:type="dxa" w:w="3456"/>
            <w:vAlign w:val="top"/>
          </w:tcPr>
          <w:p>
            <w:pPr>
              <w:spacing w:after="40"/>
            </w:pPr>
            <w:r>
              <w:rPr>
                <w:sz w:val="18"/>
              </w:rPr>
              <w:t>B — immediate hard delete of live account and deck rows on confirmed request; only provider backups age out within 30 days. No grace period.</w:t>
            </w:r>
          </w:p>
        </w:tc>
        <w:tc>
          <w:tcPr>
            <w:tcW w:type="dxa" w:w="1584"/>
            <w:vAlign w:val="top"/>
          </w:tcPr>
          <w:p>
            <w:pPr>
              <w:spacing w:after="40"/>
            </w:pPr>
            <w:r>
              <w:rPr>
                <w:sz w:val="18"/>
              </w:rPr>
              <w:t>Decided 2026-10-27</w:t>
            </w:r>
          </w:p>
        </w:tc>
      </w:tr>
      <w:tr>
        <w:tc>
          <w:tcPr>
            <w:tcW w:type="dxa" w:w="864"/>
            <w:vAlign w:val="top"/>
          </w:tcPr>
          <w:p>
            <w:pPr>
              <w:spacing w:after="40"/>
            </w:pPr>
            <w:r>
              <w:rPr>
                <w:sz w:val="18"/>
              </w:rPr>
              <w:t>OD-11</w:t>
            </w:r>
          </w:p>
        </w:tc>
        <w:tc>
          <w:tcPr>
            <w:tcW w:type="dxa" w:w="3456"/>
            <w:vAlign w:val="top"/>
          </w:tcPr>
          <w:p>
            <w:pPr>
              <w:spacing w:after="40"/>
            </w:pPr>
            <w:r>
              <w:rPr>
                <w:sz w:val="18"/>
              </w:rPr>
              <w:t>Where do Genesys point values come from at refresh?</w:t>
            </w:r>
          </w:p>
        </w:tc>
        <w:tc>
          <w:tcPr>
            <w:tcW w:type="dxa" w:w="3456"/>
            <w:vAlign w:val="top"/>
          </w:tcPr>
          <w:p>
            <w:pPr>
              <w:spacing w:after="40"/>
            </w:pPr>
            <w:r>
              <w:rPr>
                <w:sz w:val="18"/>
              </w:rPr>
              <w:t>A — YGOPRODeck bulk; Konami spot-check each refresh; diffs reported, not auto-applied.</w:t>
            </w:r>
          </w:p>
        </w:tc>
        <w:tc>
          <w:tcPr>
            <w:tcW w:type="dxa" w:w="1584"/>
            <w:vAlign w:val="top"/>
          </w:tcPr>
          <w:p>
            <w:pPr>
              <w:spacing w:after="40"/>
            </w:pPr>
            <w:r>
              <w:rPr>
                <w:sz w:val="18"/>
              </w:rPr>
              <w:t>Decided 2026-10-27</w:t>
            </w:r>
          </w:p>
        </w:tc>
      </w:tr>
      <w:tr>
        <w:tc>
          <w:tcPr>
            <w:tcW w:type="dxa" w:w="864"/>
            <w:vAlign w:val="top"/>
          </w:tcPr>
          <w:p>
            <w:pPr>
              <w:spacing w:after="40"/>
            </w:pPr>
            <w:r>
              <w:rPr>
                <w:sz w:val="18"/>
              </w:rPr>
              <w:t>OD-12</w:t>
            </w:r>
          </w:p>
        </w:tc>
        <w:tc>
          <w:tcPr>
            <w:tcW w:type="dxa" w:w="3456"/>
            <w:vAlign w:val="top"/>
          </w:tcPr>
          <w:p>
            <w:pPr>
              <w:spacing w:after="40"/>
            </w:pPr>
            <w:r>
              <w:rPr>
                <w:sz w:val="18"/>
              </w:rPr>
              <w:t>What is the default Genesys point cap in the deck builder?</w:t>
            </w:r>
          </w:p>
        </w:tc>
        <w:tc>
          <w:tcPr>
            <w:tcW w:type="dxa" w:w="3456"/>
            <w:vAlign w:val="top"/>
          </w:tcPr>
          <w:p>
            <w:pPr>
              <w:spacing w:after="40"/>
            </w:pPr>
            <w:r>
              <w:rPr>
                <w:sz w:val="18"/>
              </w:rPr>
              <w:t>B — default 100; user may set a custom cap.</w:t>
            </w:r>
          </w:p>
        </w:tc>
        <w:tc>
          <w:tcPr>
            <w:tcW w:type="dxa" w:w="1584"/>
            <w:vAlign w:val="top"/>
          </w:tcPr>
          <w:p>
            <w:pPr>
              <w:spacing w:after="40"/>
            </w:pPr>
            <w:r>
              <w:rPr>
                <w:sz w:val="18"/>
              </w:rPr>
              <w:t>Decided 2026-10-27</w:t>
            </w:r>
          </w:p>
        </w:tc>
      </w:tr>
    </w:tbl>
    <w:p>
      <w:pPr>
        <w:spacing w:after="40"/>
      </w:pPr>
    </w:p>
    <w:p>
      <w:pPr>
        <w:pStyle w:val="Heading1"/>
      </w:pPr>
      <w:r>
        <w:t>12. Maintenance and references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Item</w:t>
            </w:r>
          </w:p>
        </w:tc>
        <w:tc>
          <w:tcPr>
            <w:tcW w:type="dxa" w:w="7056"/>
            <w:shd w:val="clear" w:color="auto" w:fill="D9E2F3"/>
          </w:tcPr>
          <w:p>
            <w:r/>
            <w:r>
              <w:rPr>
                <w:b/>
                <w:sz w:val="19"/>
              </w:rPr>
              <w:t>Detail</w:t>
            </w:r>
          </w:p>
        </w:tc>
      </w:tr>
      <w:tr>
        <w:tc>
          <w:tcPr>
            <w:tcW w:type="dxa" w:w="2304"/>
            <w:vAlign w:val="top"/>
          </w:tcPr>
          <w:p>
            <w:pPr>
              <w:spacing w:after="40"/>
            </w:pPr>
            <w:r>
              <w:rPr>
                <w:sz w:val="19"/>
              </w:rPr>
              <w:t>Author</w:t>
            </w:r>
          </w:p>
        </w:tc>
        <w:tc>
          <w:tcPr>
            <w:tcW w:type="dxa" w:w="7056"/>
            <w:vAlign w:val="top"/>
          </w:tcPr>
          <w:p>
            <w:pPr>
              <w:spacing w:after="40"/>
            </w:pPr>
            <w:r>
              <w:rPr>
                <w:sz w:val="19"/>
              </w:rPr>
              <w:t>Filliciano Plong</w:t>
            </w:r>
          </w:p>
        </w:tc>
      </w:tr>
      <w:tr>
        <w:tc>
          <w:tcPr>
            <w:tcW w:type="dxa" w:w="2304"/>
            <w:vAlign w:val="top"/>
          </w:tcPr>
          <w:p>
            <w:pPr>
              <w:spacing w:after="40"/>
            </w:pPr>
            <w:r>
              <w:rPr>
                <w:sz w:val="19"/>
              </w:rPr>
              <w:t>Version and date</w:t>
            </w:r>
          </w:p>
        </w:tc>
        <w:tc>
          <w:tcPr>
            <w:tcW w:type="dxa" w:w="7056"/>
            <w:vAlign w:val="top"/>
          </w:tcPr>
          <w:p>
            <w:pPr>
              <w:spacing w:after="40"/>
            </w:pPr>
            <w:r>
              <w:rPr>
                <w:sz w:val="19"/>
              </w:rPr>
              <w:t>1.0, October 27, 2026</w:t>
            </w:r>
          </w:p>
        </w:tc>
      </w:tr>
      <w:tr>
        <w:tc>
          <w:tcPr>
            <w:tcW w:type="dxa" w:w="2304"/>
            <w:vAlign w:val="top"/>
          </w:tcPr>
          <w:p>
            <w:pPr>
              <w:spacing w:after="40"/>
            </w:pPr>
            <w:r>
              <w:rPr>
                <w:sz w:val="19"/>
              </w:rPr>
              <w:t>Based on</w:t>
            </w:r>
          </w:p>
        </w:tc>
        <w:tc>
          <w:tcPr>
            <w:tcW w:type="dxa" w:w="7056"/>
            <w:vAlign w:val="top"/>
          </w:tcPr>
          <w:p>
            <w:pPr>
              <w:spacing w:after="40"/>
            </w:pPr>
            <w:r>
              <w:rPr>
                <w:sz w:val="19"/>
              </w:rPr>
              <w:t>SRS version 1.0 (Approved 2026-10-27)</w:t>
            </w:r>
          </w:p>
        </w:tc>
      </w:tr>
      <w:tr>
        <w:tc>
          <w:tcPr>
            <w:tcW w:type="dxa" w:w="2304"/>
            <w:vAlign w:val="top"/>
          </w:tcPr>
          <w:p>
            <w:pPr>
              <w:spacing w:after="40"/>
            </w:pPr>
            <w:r>
              <w:rPr>
                <w:sz w:val="19"/>
              </w:rPr>
              <w:t>Status</w:t>
            </w:r>
          </w:p>
        </w:tc>
        <w:tc>
          <w:tcPr>
            <w:tcW w:type="dxa" w:w="7056"/>
            <w:vAlign w:val="top"/>
          </w:tcPr>
          <w:p>
            <w:pPr>
              <w:spacing w:after="40"/>
            </w:pPr>
            <w:r>
              <w:rPr>
                <w:sz w:val="19"/>
              </w:rPr>
              <w:t>Approved 2026-10-27 by Filliciano Plong</w:t>
            </w:r>
          </w:p>
        </w:tc>
      </w:tr>
      <w:tr>
        <w:tc>
          <w:tcPr>
            <w:tcW w:type="dxa" w:w="2304"/>
            <w:vAlign w:val="top"/>
          </w:tcPr>
          <w:p>
            <w:pPr>
              <w:spacing w:after="40"/>
            </w:pPr>
            <w:r>
              <w:rPr>
                <w:sz w:val="19"/>
              </w:rPr>
              <w:t>Update when</w:t>
            </w:r>
          </w:p>
        </w:tc>
        <w:tc>
          <w:tcPr>
            <w:tcW w:type="dxa" w:w="7056"/>
            <w:vAlign w:val="top"/>
          </w:tcPr>
          <w:p>
            <w:pPr>
              <w:spacing w:after="40"/>
            </w:pPr>
            <w:r>
              <w:rPr>
                <w:sz w:val="19"/>
              </w:rPr>
              <w:t>An ADR changes status, a component is added or renamed, or a spike changes a decision</w:t>
            </w:r>
          </w:p>
        </w:tc>
      </w:tr>
      <w:tr>
        <w:tc>
          <w:tcPr>
            <w:tcW w:type="dxa" w:w="2304"/>
            <w:vAlign w:val="top"/>
          </w:tcPr>
          <w:p>
            <w:pPr>
              <w:spacing w:after="40"/>
            </w:pPr>
            <w:r>
              <w:rPr>
                <w:sz w:val="19"/>
              </w:rPr>
              <w:t>Diagram sources</w:t>
            </w:r>
          </w:p>
        </w:tc>
        <w:tc>
          <w:tcPr>
            <w:tcW w:type="dxa" w:w="7056"/>
            <w:vAlign w:val="top"/>
          </w:tcPr>
          <w:p>
            <w:pPr>
              <w:spacing w:after="40"/>
            </w:pPr>
            <w:r>
              <w:rPr>
                <w:sz w:val="19"/>
              </w:rPr>
              <w:t>docs/diagrams/*.puml, rendered to docs/images/</w:t>
            </w:r>
          </w:p>
        </w:tc>
      </w:tr>
    </w:tbl>
    <w:p>
      <w:pPr>
        <w:spacing w:after="40"/>
      </w:pPr>
    </w:p>
    <w:p>
      <w:pPr>
        <w:pStyle w:val="Heading2"/>
      </w:pPr>
      <w:r>
        <w:t>12.1 References</w:t>
      </w:r>
    </w:p>
    <w:p>
      <w:pPr>
        <w:pStyle w:val="ListBullet"/>
        <w:spacing w:after="60"/>
      </w:pPr>
      <w:r>
        <w:t>OTCP SRS (Plong_OTCP_SRS.docx), version 1.0 Approved.</w:t>
      </w:r>
    </w:p>
    <w:p>
      <w:pPr>
        <w:pStyle w:val="ListBullet"/>
        <w:spacing w:after="60"/>
      </w:pPr>
      <w:r>
        <w:t>arc42 template: arc42.org. C4 model: c4model.com.</w:t>
      </w:r>
    </w:p>
    <w:p>
      <w:pPr>
        <w:pStyle w:val="ListBullet"/>
        <w:spacing w:after="60"/>
      </w:pPr>
      <w:r>
        <w:t>YGOPRODeck API documentation (v7 card fields, card_prices, genesys_points).</w:t>
      </w:r>
    </w:p>
    <w:p>
      <w:pPr>
        <w:pStyle w:val="ListBullet"/>
        <w:spacing w:after="60"/>
      </w:pPr>
      <w:r>
        <w:t>Supabase Auth and Row Level Security guides.</w:t>
      </w:r>
    </w:p>
    <w:p>
      <w:pPr>
        <w:pStyle w:val="ListBullet"/>
        <w:spacing w:after="60"/>
      </w:pPr>
      <w:r>
        <w:t>GitHub Pages: custom 404 and project site base paths.</w:t>
      </w:r>
    </w:p>
    <w:p>
      <w:pPr>
        <w:pStyle w:val="ListBullet"/>
        <w:spacing w:after="60"/>
      </w:pPr>
      <w:r>
        <w:t>Vite base option; React Router BrowserRouter on static hosts.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OTCP Architecture and Design</dc:title>
  <dc:subject/>
  <dc:creator>Filliciano Plong</dc:creator>
  <cp:keywords/>
  <dc:description/>
  <cp:lastModifiedBy>Filliciano Plong</cp:lastModifiedBy>
  <cp:revision>1</cp:revision>
  <dcterms:created xsi:type="dcterms:W3CDTF">2026-10-27T17:00:00Z</dcterms:created>
  <dcterms:modified xsi:type="dcterms:W3CDTF">2026-10-28T17:59:23Z</dcterms:modified>
  <cp:category/>
</cp:coreProperties>
</file>