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2328"/>
                <w:sz w:val="28"/>
                <w:szCs w:val="28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2328"/>
                <w:sz w:val="28"/>
                <w:szCs w:val="28"/>
                <w:rtl w:val="0"/>
              </w:rPr>
              <w:t xml:space="preserve">Encoding Convention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BMI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6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&lt;18 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 0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18-25 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25-30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  2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30-35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shd w:fill="ffffff" w:val="clear"/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&gt;35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Female = 1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hd w:fill="ffffff" w:val="clear"/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Male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Type of 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9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ACDF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 LP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LWOF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ACCF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5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LWF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Foraminotomy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9"/>
              </w:numPr>
              <w:shd w:fill="ffffff" w:val="clear"/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CDR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Previous Cervical Surgery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Yes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hd w:fill="ffffff" w:val="clear"/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Smoking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Yes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hd w:fill="ffffff" w:val="clear"/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hd w:fill="ffffff" w:val="clear"/>
              <w:spacing w:before="60" w:lineRule="auto"/>
              <w:ind w:left="720" w:hanging="36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As a number between 0 and one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before="60" w:lineRule="auto"/>
              <w:ind w:left="720" w:firstLine="0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 (ex. 0.77)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N° of levels (sites) of cervical pathologies: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before="6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3 → 3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2 → 2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1 →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N° of levels of radiological myelopathy: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0 → 0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1 → 1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2 → 2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3 →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Extent of Compression: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Disc level → 1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Disc and vertebral body →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Predominance of Site of Compression: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Anterior → 1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Both → 2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Posterior →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of Compression: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“Soft” → 1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“Hard” or calcified →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Cervical Alignment: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Kyphotic → 2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Neutral → 1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Lordotic →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hd w:fill="ffffff" w:val="clear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before="60" w:lineRule="auto"/>
        <w:ind w:left="0" w:firstLine="0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Table X) Variables Encoding Table</w:t>
      </w:r>
    </w:p>
    <w:p w:rsidR="00000000" w:rsidDel="00000000" w:rsidP="00000000" w:rsidRDefault="00000000" w:rsidRPr="00000000" w14:paraId="0000003B">
      <w:pPr>
        <w:shd w:fill="ffffff" w:val="clear"/>
        <w:spacing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