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2328"/>
                <w:sz w:val="28"/>
                <w:szCs w:val="28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2328"/>
                <w:sz w:val="28"/>
                <w:szCs w:val="28"/>
                <w:rtl w:val="0"/>
              </w:rPr>
              <w:t xml:space="preserve">Encoding Convention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BMI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6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&lt;18 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0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18-25 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25-30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 2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30-35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&gt;35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Female = 1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Male = 0</w:t>
            </w:r>
          </w:p>
        </w:tc>
      </w:tr>
      <w:tr>
        <w:trPr>
          <w:cantSplit w:val="0"/>
          <w:trHeight w:val="2637.474609374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Type of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ACDF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LP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LWOF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ACCF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5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LWF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Foraminotomy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CDR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Previous Cervical Surgery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Yes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Smoking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Yes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95.95898437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hd w:fill="ffffff" w:val="clear"/>
              <w:spacing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As a number between 0 and one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before="60" w:lineRule="auto"/>
              <w:ind w:left="720" w:firstLine="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(ex. 0.77)</w:t>
            </w:r>
          </w:p>
        </w:tc>
      </w:tr>
      <w:tr>
        <w:trPr>
          <w:cantSplit w:val="0"/>
          <w:trHeight w:val="1135.7578125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N° of levels (sites) of cervical pathologies: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1 → 1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2 → 2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3 → 3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4 → 4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5 →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N° of levels of radiological myelopathy: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0 → 0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1 → 1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2 → 2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3 →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Extent of Compression: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Disc level → 1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Disc and vertebral body →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Predominance of Site of Compression: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Anterior → 1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Both → 2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Posterior →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Compression: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“Soft” → 1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“Hard” or calcified →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Cervical Alignment: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Kyphotic → 2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Neutral → 1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Lordotic →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before="60" w:lineRule="auto"/>
        <w:ind w:left="0" w:firstLine="0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Table X) Variables Encoding Table</w:t>
      </w:r>
    </w:p>
    <w:p w:rsidR="00000000" w:rsidDel="00000000" w:rsidP="00000000" w:rsidRDefault="00000000" w:rsidRPr="00000000" w14:paraId="0000003E">
      <w:pPr>
        <w:shd w:fill="ffffff" w:val="clear"/>
        <w:spacing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