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3F3C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D9B45B" w:sz="6" w:space="8"/>
              </w:pBdr>
              <w:spacing w:after="500"/>
              <w:ind w:left="1200" w:right="800"/>
            </w:pPr>
            <w:r>
              <w:rPr>
                <w:rFonts w:ascii="Calibri" w:cs="Calibri" w:eastAsia="Calibri" w:hAnsi="Calibri"/>
                <w:color w:val="D9B45B"/>
                <w:spacing w:val="40"/>
                <w:sz w:val="18"/>
                <w:szCs w:val="18"/>
              </w:rPr>
              <w:t xml:space="preserve">S  I  G  F  C  O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Especificação de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80"/>
                <w:szCs w:val="80"/>
              </w:rPr>
              <w:t xml:space="preserve">Requisitos de Software</w:t>
            </w:r>
          </w:p>
          <w:p>
            <w:pPr>
              <w:spacing w:after="800"/>
              <w:ind w:left="1200" w:right="800"/>
            </w:pPr>
            <w:r>
              <w:rPr>
                <w:rFonts w:ascii="Calibri" w:cs="Calibri" w:eastAsia="Calibri" w:hAnsi="Calibri"/>
                <w:color w:val="C3DED9"/>
                <w:sz w:val="24"/>
                <w:szCs w:val="24"/>
              </w:rPr>
              <w:t xml:space="preserve">SRS v1.0 — referência técnica do projecto SIGFCO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Versão 1.0 — 27 de Outubro de 2026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Documento de referência do projecto</w:t>
            </w:r>
          </w:p>
          <w:p>
            <w:pPr>
              <w:pBdr>
                <w:left w:val="single" w:color="D9B45B" w:sz="8" w:space="12"/>
              </w:pBdr>
              <w:spacing w:after="80"/>
              <w:ind w:left="1400"/>
            </w:pPr>
            <w:r>
              <w:rPr>
                <w:rFonts w:ascii="Calibri" w:cs="Calibri" w:eastAsia="Calibri" w:hAnsi="Calibri"/>
                <w:color w:val="E4F0EE"/>
                <w:sz w:val="24"/>
                <w:szCs w:val="24"/>
              </w:rPr>
              <w:t xml:space="preserve">Filomeno Manuel Joaquim Alexandre — Beira, Moçambique</w:t>
            </w:r>
          </w:p>
          <w:p>
            <w:pPr>
              <w:spacing w:before="4241"/>
            </w:pPr>
          </w:p>
          <w:p>
            <w:pPr>
              <w:pBdr>
                <w:top w:val="single" w:color="D9B45B" w:sz="2" w:space="8"/>
              </w:pBdr>
              <w:spacing w:before="200"/>
              <w:ind w:left="1200" w:right="800"/>
            </w:pP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                                        </w:t>
            </w:r>
            <w:r>
              <w:rPr>
                <w:rFonts w:ascii="Calibri" w:cs="Calibri" w:eastAsia="Calibri" w:hAnsi="Calibri"/>
                <w:color w:val="8FB8B3"/>
                <w:sz w:val="16"/>
                <w:szCs w:val="16"/>
              </w:rPr>
              <w:t xml:space="preserve">sigfco360@gmail.com   ·   827429678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1. Introdução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1.1 Objectivo deste documento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1.2 Âmbito do sistema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1.3 Fora do âmbito inicial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1.4 Como ler este documento</w:t>
          </w:r>
          <w:r>
            <w:tab/>
          </w:r>
          <w:r>
            <w:t>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2. Descrição geral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2.1 Perfis de utilizador (§4)</w:t>
          </w:r>
          <w:r>
            <w:tab/>
          </w:r>
          <w:r>
            <w:t>1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2.2 Ambientes e demonstração (FR-004, DEV-003)</w:t>
          </w:r>
          <w:r>
            <w:tab/>
          </w:r>
          <w:r>
            <w:t>2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2.3 Restrições gerais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3. Empresa, configuração e numeração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4. Frota: veículos, motoristas e reboques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5. Viagens (§5)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5.1 Ciclo de vida (§5.1)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5.2 Planeamento e validação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5.3 Estados do veículo e conflitos (§5.2, §5.3)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6. Checklist pré-partida e carregador obrigatório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7. Despesas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8. Adiantamentos e per diem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9. GPS e rastreamento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10. Modo offline do motorista (§8)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11. Combustível, manutenção e documentos</w:t>
          </w:r>
          <w:r>
            <w:tab/>
          </w:r>
          <w:r>
            <w:t>8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12. Financeiro (§9)</w:t>
          </w:r>
          <w:r>
            <w:tab/>
          </w:r>
          <w:r>
            <w:t>9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13. Interface e experiência (§11)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14. Segurança, privacidade e operação</w:t>
          </w:r>
          <w:r>
            <w:tab/>
          </w:r>
          <w:r>
            <w:t>10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15. Relatórios e exportações (§15)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16. Critérios de aceitação (AT)</w:t>
          </w:r>
          <w:r>
            <w:tab/>
          </w:r>
          <w:r>
            <w:t>11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17. Fases de entrega (§17, §18)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18. Integrações e homologação (§19)</w:t>
          </w:r>
          <w:r>
            <w:tab/>
          </w:r>
          <w:r>
            <w:t>12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19. Regras de desenvolvimento (DEV)</w:t>
          </w:r>
          <w:r>
            <w:tab/>
          </w:r>
          <w:r>
            <w:t>13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Nota: este índice usa códigos de campo. Se editar o documento no Word, clique com o botão direito do rato sobre o índice e escolha Actualizar campo para corrigir os números das páginas.</w:t>
      </w:r>
    </w:p>
    <w:p>
      <w:pPr>
        <w:pStyle w:val="Heading1"/>
        <w:keepNext/>
        <w:spacing w:after="180" w:before="420" w:line="312"/>
      </w:pPr>
      <w:bookmarkStart w:name="_Toc1" w:id="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1. Introdução</w:t>
      </w:r>
      <w:bookmarkEnd w:id="1"/>
    </w:p>
    <w:p>
      <w:pPr>
        <w:pStyle w:val="Heading2"/>
        <w:keepNext/>
        <w:spacing w:after="120" w:before="280" w:line="312"/>
      </w:pPr>
      <w:bookmarkStart w:name="_Toc2" w:id="2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1.1 Objectivo deste documento</w:t>
      </w:r>
      <w:bookmarkEnd w:id="2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Este documento fixa o que o SIGFCO tem de fazer. É a referência do projecto: a partir dele se desenha, se constrói, se testa e se aceita o sistema. Qualquer dúvida sobre uma função resolve-se primeiro aqui.</w:t>
      </w:r>
    </w:p>
    <w:p>
      <w:pPr>
        <w:pStyle w:val="Heading2"/>
        <w:keepNext/>
        <w:spacing w:after="120" w:before="280" w:line="312"/>
      </w:pPr>
      <w:bookmarkStart w:name="_Toc3" w:id="3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1.2 Âmbito do sistema</w:t>
      </w:r>
      <w:bookmarkEnd w:id="3"/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Âmbito operacional: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operação de frota com origem no Porto da Beira, corredor da EN6 e rotas nacionais e transfronteiriças da África Austral. O sistema cobre o ciclo completo: planeamento da viagem, autorização da partida, acompanhamento no mapa, despesas com prova fotográfica, manutenção, documentos e fecho das contas.</w:t>
      </w:r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Composição: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um painel web para o escritório, uma aplicação do motorista para o telemóvel (funciona também sem internet) e uma camada autónoma de recepção de posições GPS.</w:t>
      </w:r>
    </w:p>
    <w:p>
      <w:pPr>
        <w:pStyle w:val="Heading2"/>
        <w:keepNext/>
        <w:spacing w:after="120" w:before="280" w:line="312"/>
      </w:pPr>
      <w:bookmarkStart w:name="_Toc4" w:id="4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1.3 Fora do âmbito inicial</w:t>
      </w:r>
      <w:bookmarkEnd w:id="4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Ficam fora do âmbito inicial: leitura de dados do motor do veículo (CAN bus/OBD), ligação por satélite, imobilização remota do veículo e gestão de frotas de terceiros. Podem entrar em fases posteriores.</w:t>
      </w:r>
    </w:p>
    <w:p>
      <w:pPr>
        <w:pStyle w:val="Heading2"/>
        <w:keepNext/>
        <w:spacing w:after="120" w:before="280" w:line="312"/>
      </w:pPr>
      <w:bookmarkStart w:name="_Toc5" w:id="5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1.4 Como ler este documento</w:t>
      </w:r>
      <w:bookmarkEnd w:id="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Cada requisito tem um código. FR são requisitos funcionais por módulo; GPS, OFF, FIN, MNT, FUEL e DOC são os requisitos dos respectivos domínios; SEC e PRV são segurança e privacidade; UX é interface; OPS é operação; ARC são arquitectura e integrações; DEV são regras de desenvolvimento; AT são os cenários de aceitação que provam o cumprimento.</w:t>
      </w:r>
    </w:p>
    <w:p>
      <w:pPr>
        <w:pStyle w:val="Heading1"/>
        <w:keepNext/>
        <w:spacing w:after="180" w:before="420" w:line="312"/>
      </w:pPr>
      <w:bookmarkStart w:name="_Toc6" w:id="6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2. Descrição geral</w:t>
      </w:r>
      <w:bookmarkEnd w:id="6"/>
    </w:p>
    <w:p>
      <w:pPr>
        <w:pStyle w:val="Heading2"/>
        <w:keepNext/>
        <w:spacing w:after="120" w:before="280" w:line="312"/>
      </w:pPr>
      <w:bookmarkStart w:name="_Toc7" w:id="7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2.1 Perfis de utilizador (§4)</w:t>
      </w:r>
      <w:bookmarkEnd w:id="7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tem nove perfis. O menu e as acções adaptam-se ao perfil, e o servidor confirma as permissões em cada chamada — a interface esconder não chega.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5F6F6D"/>
          <w:sz w:val="21"/>
          <w:szCs w:val="21"/>
        </w:rPr>
        <w:t xml:space="preserve">Perfis do sistema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2988"/>
        <w:gridCol w:w="5800"/>
      </w:tblGrid>
      <w:tr>
        <w:trPr>
          <w:cantSplit/>
          <w:tblHeader/>
        </w:trPr>
        <w:tc>
          <w:tcPr>
            <w:tcW w:type="pct" w:w="17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Perfil</w:t>
            </w:r>
          </w:p>
        </w:tc>
        <w:tc>
          <w:tcPr>
            <w:tcW w:type="pct" w:w="33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Âmbito de acção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Administrador da plataforma</w:t>
            </w:r>
          </w:p>
        </w:tc>
        <w:tc>
          <w:tcPr>
            <w:tcW w:type="pct" w:w="3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Gestão técnica global; não interfere nos dados da operação.</w:t>
            </w:r>
          </w:p>
        </w:tc>
      </w:tr>
      <w:tr>
        <w:trPr>
          <w:cantSplit/>
        </w:trPr>
        <w:tc>
          <w:tcPr>
            <w:tcW w:type="pct" w:w="1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Director (admin da empresa)</w:t>
            </w:r>
          </w:p>
        </w:tc>
        <w:tc>
          <w:tcPr>
            <w:tcW w:type="pct" w:w="33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Configuração completa da empresa, utilizadores, parâmetros, auditoria e sessões.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Gestor de filial</w:t>
            </w:r>
          </w:p>
        </w:tc>
        <w:tc>
          <w:tcPr>
            <w:tcW w:type="pct" w:w="3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Operação da sua filial, com os mesmos poderes no seu âmbito.</w:t>
            </w:r>
          </w:p>
        </w:tc>
      </w:tr>
      <w:tr>
        <w:trPr>
          <w:cantSplit/>
        </w:trPr>
        <w:tc>
          <w:tcPr>
            <w:tcW w:type="pct" w:w="1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Despachante</w:t>
            </w:r>
          </w:p>
        </w:tc>
        <w:tc>
          <w:tcPr>
            <w:tcW w:type="pct" w:w="33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Planeia, valida e acompanha viagens; envia checklists e autoriza partidas.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Gestor de frota</w:t>
            </w:r>
          </w:p>
        </w:tc>
        <w:tc>
          <w:tcPr>
            <w:tcW w:type="pct" w:w="3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Fichas de veículos, motoristas, reboques e rastreadores; documentos; manutenção.</w:t>
            </w:r>
          </w:p>
        </w:tc>
      </w:tr>
      <w:tr>
        <w:trPr>
          <w:cantSplit/>
        </w:trPr>
        <w:tc>
          <w:tcPr>
            <w:tcW w:type="pct" w:w="1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Financeiro</w:t>
            </w:r>
          </w:p>
        </w:tc>
        <w:tc>
          <w:tcPr>
            <w:tcW w:type="pct" w:w="33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Fila de despesas, câmbio, adiantamentos e fecho financeiro das viagens.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Mecânico</w:t>
            </w:r>
          </w:p>
        </w:tc>
        <w:tc>
          <w:tcPr>
            <w:tcW w:type="pct" w:w="3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Ordens de serviço, planos preventivos e pneus.</w:t>
            </w:r>
          </w:p>
        </w:tc>
      </w:tr>
      <w:tr>
        <w:trPr>
          <w:cantSplit/>
        </w:trPr>
        <w:tc>
          <w:tcPr>
            <w:tcW w:type="pct" w:w="1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Auditor</w:t>
            </w:r>
          </w:p>
        </w:tc>
        <w:tc>
          <w:tcPr>
            <w:tcW w:type="pct" w:w="33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Leitura total e exportações auditadas.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Motorista</w:t>
            </w:r>
          </w:p>
        </w:tc>
        <w:tc>
          <w:tcPr>
            <w:tcW w:type="pct" w:w="33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App do telemóvel: apenas a sua viagem e as suas despesas.</w:t>
            </w:r>
          </w:p>
        </w:tc>
      </w:tr>
    </w:tbl>
    <w:p>
      <w:pPr>
        <w:pStyle w:val="Heading2"/>
        <w:keepNext/>
        <w:spacing w:after="120" w:before="280" w:line="312"/>
      </w:pPr>
      <w:bookmarkStart w:name="_Toc8" w:id="8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2.2 Ambientes e demonstração (FR-004, DEV-003)</w:t>
      </w:r>
      <w:bookmarkEnd w:id="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produção inicia vazia. Existe um ambiente de demonstração com dados fictícios, claramente identificados como DEMO em todos os ecrãs. Nada do DEMO se mistura com dados reais, e o simulador de telemetria está confinado ao ambiente de demonstração.</w:t>
      </w:r>
    </w:p>
    <w:p>
      <w:pPr>
        <w:pStyle w:val="Heading2"/>
        <w:keepNext/>
        <w:spacing w:after="120" w:before="280" w:line="312"/>
      </w:pPr>
      <w:bookmarkStart w:name="_Toc9" w:id="9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2.3 Restrições gerais</w:t>
      </w:r>
      <w:bookmarkEnd w:id="9"/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Idioma: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português de Moçambique em toda a interface, com estrutura preparada para inglês.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Fuso: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hora de Moçambique (CAT, UTC+2). As posições GPS guardam a hora original do aparelho além da hora de recepção.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Moeda: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metical (MZN) como moeda base, com multimoeda nas viagens regionais e câmbio auditado.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Isolamento: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cada empresa só vê os seus dados. O isolamento é garantido no servidor e testado (AT-001).</w:t>
      </w:r>
    </w:p>
    <w:p>
      <w:pPr>
        <w:pStyle w:val="Heading1"/>
        <w:keepNext/>
        <w:spacing w:after="180" w:before="420" w:line="312"/>
      </w:pPr>
      <w:bookmarkStart w:name="_Toc10" w:id="10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3. Empresa, configuração e numeração</w:t>
      </w:r>
      <w:bookmarkEnd w:id="10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Multiempresa: todos os registos pertencem a uma empresa e o servidor limita cada consulta ao âmbito da empresa da sessão.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Configuração da empresa: nome, dados fiscais, NUIT, moeda base e fuso; os dados aparecem nos documentos emitidos.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Parâmetros do sistema configuráveis pelo director: limiares de GPS, regras de orçamento, detecção de duplicados e antecedência dos avisos.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Ambientes separados: produção vazia por omissão e ambiente de demonstração identificado.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Numeração única e sem falhas de documentos (viagens, despesas, ordens de serviço), mesmo com vários utilizadores ao mesmo tempo.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11" w:id="1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4. Frota: veículos, motoristas e reboques</w:t>
      </w:r>
      <w:bookmarkEnd w:id="11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Ficha completa do veículo: identificação, matrícula, odómetro, tanque e consumo de referência.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Documentação do veículo com validades e alertas de vencimento.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Reboques com ficha própria e associação às viagens.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Histórico completo por veículo: viagens, manutenções, documentos e ocorrências.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Estado do veículo calculado automaticamente a partir das viagens, manutenções e documentos, com registo na auditoria.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FR-015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Odómetro confiável: o sistema recusa regressões e saltos implausíveis e exige justificação quando houver discrepância.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FR-020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Ficha do motorista com dados pessoais e fotografias dos documentos.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FR-021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Validade da carta de condução: carta expirada bloqueia a atribuição a novas viagens.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FR-022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Elegibilidade do motorista: só podem ser atribuídos motoristas disponíveis e em regra.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FR-023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Rastreadores: ficha com número de série, associação ao veículo e registo da instalação (quem, quando, onde).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12" w:id="12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5. Viagens (§5)</w:t>
      </w:r>
      <w:bookmarkEnd w:id="12"/>
    </w:p>
    <w:p>
      <w:pPr>
        <w:pStyle w:val="Heading2"/>
        <w:keepNext/>
        <w:spacing w:after="120" w:before="280" w:line="312"/>
      </w:pPr>
      <w:bookmarkStart w:name="_Toc13" w:id="13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5.1 Ciclo de vida (§5.1)</w:t>
      </w:r>
      <w:bookmarkEnd w:id="13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viagem atravessa dez estados, com transições validadas no servidor. Nenhum estado se salta e cada mudança fica registada. As acções disponíveis aparecem apenas quando o estado permite (DEV-004): não existem botões mortos.</w:t>
      </w:r>
    </w:p>
    <w:p>
      <w:pPr>
        <w:pStyle w:val="Heading2"/>
        <w:keepNext/>
        <w:spacing w:after="120" w:before="280" w:line="312"/>
      </w:pPr>
      <w:bookmarkStart w:name="_Toc14" w:id="14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5.2 Planeamento e validação</w:t>
      </w:r>
      <w:bookmarkEnd w:id="14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Criação da viagem com cliente, origem, destino, datas, motorista, veículo, reboque e observações.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Plano de rota com pontos de passagem; a versão aprovada fica guardada.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Verificação de disponibilidade e conflitos de recursos antes do planeamento.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Orçamento da viagem por rubrica (combustível, portagens, alimentação, outras).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Orçamento multimoeda, com conversão auditada pela taxa registada.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Autorização de saída bloqueada quando falha o rastreador, existem documentos expirados, manutenção crítica ou checklist por resolver; o sistema apresenta a lista de problemas.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FR-036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Eventos da viagem: partida, pausas, chegada, ocorrências e outros registos com hora e autor.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FR-037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Gestão de alterações: mudanças críticas no planeamento ficam na auditoria com antes e depois.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FR-038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Fecho operacional: pedido de fecho com lista de pendências; o fecho só ocorre com as pendências resolvidas (AT-023).</w:t>
            </w:r>
          </w:p>
        </w:tc>
      </w:tr>
    </w:tbl>
    <w:p>
      <w:pPr>
        <w:pStyle w:val="Heading2"/>
        <w:keepNext/>
        <w:spacing w:after="120" w:before="280" w:line="312"/>
      </w:pPr>
      <w:bookmarkStart w:name="_Toc15" w:id="15"/>
      <w:r>
        <w:rPr>
          <w:rFonts w:ascii="Calibri" w:cs="Calibri" w:eastAsia="Calibri" w:hAnsi="Calibri"/>
          <w:b/>
          <w:bCs/>
          <w:color w:val="0E3F3C"/>
          <w:sz w:val="27"/>
          <w:szCs w:val="27"/>
        </w:rPr>
        <w:t xml:space="preserve">5.3 Estados do veículo e conflitos (§5.2, §5.3)</w:t>
      </w:r>
      <w:bookmarkEnd w:id="1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estado do veículo recalcula-se sozinho conforme as viagens, manutenções e documentos. O sistema recusa atribuições sobrepostas do mesmo motorista, veículo ou reboque e explica o conflito (AT-016).</w:t>
      </w:r>
    </w:p>
    <w:p>
      <w:pPr>
        <w:pStyle w:val="Heading1"/>
        <w:keepNext/>
        <w:spacing w:after="180" w:before="420" w:line="312"/>
      </w:pPr>
      <w:bookmarkStart w:name="_Toc16" w:id="16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6. Checklist pré-partida e carregador obrigatório</w:t>
      </w:r>
      <w:bookmarkEnd w:id="16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FR-040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Checklist pré-partida por modelo configurável, respondido pelo motorista no telemóvel.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FR-041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Itens sistémicos: Carregador, Suporte e Rastreador são fixos, não removíveis e bloqueantes.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FR-042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Checklist reprovado impede a autorização da partida; não existe bypass, nem na interface nem na API.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FR-043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Respostas registadas com autor e hora; o escritório vê o estado item por item.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FR-044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Novo checklist em caso de nova tentativa, mantendo o histórico das respostas anteriores.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17" w:id="17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7. Despesas</w:t>
      </w:r>
      <w:bookmarkEnd w:id="17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Registo de despesa pelo motorista com categoria, valor e moeda.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Fotografia do talão obrigatória por omissão; a foto comprime-se no próprio telemóvel antes de enviar.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Posição GPS da despesa: o local do registo fica guardado com o comprovativo.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Categorias de despesa fixas e configuráveis; combustível com litros, preço e odómetro.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Abastecimentos alimentam directamente o módulo de combustível.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Estados da despesa geridos no servidor, do registo à decisão.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FR-056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Decisão do financeiro: Aprovar, Rejeitar ou Devolver; a devolução exige motivo e categoria.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FR-057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Protecção do aprovado: despesa aprovada não se edita nem se apaga; anulação apenas por processo controlado com auditoria.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FR-058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Detecção de duplicados por conteúdo, valor, local e proximidade temporal (AT-015).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FR-059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Limites e alertas: aviso aos 80% e bloqueio de aviso aos 100% do orçamento da rubrica (FIN-011).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FR-060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Despesa sem comprovativo: excepção documentada, permitida apenas nas categorias autorizadas e com motivo.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18" w:id="18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8. Adiantamentos e per diem</w:t>
      </w:r>
      <w:bookmarkEnd w:id="18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FR-065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Adiantamentos concedidos por viagem, com moeda e valor.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FR-066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Regras de per diem (subsídio) configuráveis pela empresa.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FR-067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Reconciliação no fecho da viagem: saldo por moeda (a devolver ou a reembolsar) e pendências que bloqueiam o fecho.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19" w:id="19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9. GPS e rastreamento</w:t>
      </w:r>
      <w:bookmarkEnd w:id="19"/>
    </w:p>
    <w:p>
      <w:pPr>
        <w:spacing w:after="140" w:line="312"/>
        <w:jc w:val="both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Regra fundamental: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posição do veículo vem do rastreador dedicado instalado no veículo. O telemóvel do motorista é uma fonte secundária, identificada sempre como tal, e nunca substitui o rastreador.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Um rastreador activo por veículo, com histórico de associações.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Posicionamento sem internet no veículo: o aparelho guarda as posições quando não há rede.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Recepção store-and-forward: os pontos atrasados chegam ordenados, com a hora original do aparelho e sem perder nenhum (AT-005).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Eventos de energia do rastreador visíveis no sistema.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Conectividade regional: SIM e roaming registados na ficha do dispositivo.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GPS-006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Instalação registada: serial, local, técnico e data.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GPS-007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Corte de alimentação e violação do aparelho (tamper) geram alerta crítico e estado próprio do dispositivo.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GPS-008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Interface de fornecedor isolada: trocar de rastreador não obriga a tocar nos restantes módulos.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Cadência de envio configurável para veículo em movimento e parado.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Campos mínimos por ponto: posição, velocidade, direcção, hora original e hora de recepção.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Frescura inequívoca do ponto no mapa: recente, atrasado, sem comunicação ou histórico (AT-006).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Histórico de trajecto consultável por veículo e período.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Sinalização de qualidade: baixa precisão, salto impossível e velocidade implausível ficam marcados.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GPS-015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Fonte móvel secundária etiquetada, sem fusão silenciosa com a fonte principal.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Mapa da frota com posição actual e estado de cada veículo.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Cercas virtuais (geofences) com eventos de entrada e saída.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Pontos de interesse registados pela empresa.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Detecção de paragens com parâmetros configuráveis.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Estimativa de chegada com base nos parâmetros da rota.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Velocidade com regras declaradas e avisos configuráveis.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GPS-026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SOS do motorista: acção intencional (segurar e escrever SOS), alerta crítico no escritório e envio mesmo offline.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GPS-027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Sem dados não significa parado: o sistema distingue sem comunicação de veículo parado, no mapa e no painel.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0" w:id="20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10. Modo offline do motorista (§8)</w:t>
      </w:r>
      <w:bookmarkEnd w:id="20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 app funciona sem internet: os dados vivem em armazenamento local persistente do navegador.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Fila de sincronização com identificador único por registo.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Idempotência: enviar três vezes o mesmo registo cria um só (AT-009).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Confirmação do servidor por registo; sem confirmação, o registo permanece na fila.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Reenvio automático quando a rede volta, com espera progressiva entre tentativas.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OFF-006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Estado visível da fila, em linguagem corrente, para cada registo.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OFF-007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Conflitos tratados no servidor: nada entra sem revalidação das regras.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OFF-008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Revalidação completa de cada registo no momento da sincronização.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OFF-009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Fotografias guardadas offline e comprimidas no próprio aparelho.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OFF-010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Estados de erro visíveis; limpeza manual da fila apenas após confirmação.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OFF-020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Aplicação instalável (Adicionar ao ecrã principal), sem loja de aplicações.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OFF-021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Os registos sobrevivem ao fecho do navegador e ao reinício do telemóvel.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OFF-022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Sem promessas de trabalho em segundo plano: o navegador suspende processos; o rastreio garantido é o do rastreador.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OFF-023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Aviso honesto na interface sobre os limites do modo segundo plano.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1" w:id="21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11. Combustível, manutenção e documentos</w:t>
      </w:r>
      <w:bookmarkEnd w:id="21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FUEL-001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Abastecimentos registados com litros, preço, moeda e odómetro.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FUEL-002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Consumo esperado por veículo a partir do consumo de referência e da distância.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FUEL-003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Comparação esperado contra real, com os pressupostos visíveis.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FUEL-004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Anomalias sinalizadas para revisão humana, com encerramento motivado.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Planos preventivos por veículo, por tempo ou por quilometragem.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Aviso antecipado dos planos, com a antecedência definida nos parâmetros.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Ordens de serviço com descrição, estado e responsável.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Ordem crítica bloqueia o despacho do veículo até ser libertada (AT-018).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Libertação com diagnóstico e motivo obrigatórios; fica prova na auditoria.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MNT-010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Pneus com ficha própria e histórico de instalação, rotação e reparação com odómetro.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MNT-011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Stock de peças: modelo preparado, entrada funcional em fase posterior.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DOC-001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Repositório de documentos por veículo e por motorista, com validade.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DOC-002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Alertas de vencimento com antecedência configurável.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DOC-003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Documento vencido bloqueia por rota e por país, conforme as regras da empresa (AT-017).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2" w:id="22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12. Financeiro (§9)</w:t>
      </w:r>
      <w:bookmarkEnd w:id="22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Multimoeda: metical, rand, dólar e outras moedas registadas pela empresa.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Valores guardados em centavos inteiros, sem aritmética binária.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Câmbio registado por par de moedas com taxa, fonte, data e autor; fonte manual auditada na arranque.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Proibição de aritmética binária em dinheiro; conversões reproduzíveis ao centavo (AT-013).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Valor original nunca substituído pela conversão: guardam-se os dois.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FIN-010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Orçamento por rubrica e moeda com total convertido.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Alertas de 80% e 100% do orçamento da rubrica.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Alçadas de decisão por perfil.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Fila de despesas com filtros: pendentes, duplicadas, sem talão.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Decisão motivada: aprovar, rejeitar ou devolver com motivo (FIN-014 testado).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Anulação controlada (VOID) com autor e motivo, sempre na auditoria.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FIN-016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Fecho financeiro da viagem com reconciliação de adiantamentos e pendências.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§9.3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Integridade documental: ficheiros privados com hash SHA-256 e metadados; exportações verificáveis (AT-024).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3" w:id="23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13. Interface e experiência (§11)</w:t>
      </w:r>
      <w:bookmarkEnd w:id="23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§11.1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Painel web com quadros, mapa e tabelas com pesquisa, filtros e paginação.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§11.2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App do motorista com ecrãs simples e acções grandes: viagem activa, despesas e fila.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UX-001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Todo o texto em português de Moçambique, claro e sem jargão.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UX-002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Contraste e legibilidade em ecrã de telemóvel e em tela de computador.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UX-003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Estados visíveis: o utilizador sabe sempre o que aconteceu e o que falta.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UX-004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Confirmação crítica por escrita nas acções irreversíveis, como SOS e revogação de sessões.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4" w:id="24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14. Segurança, privacidade e operação</w:t>
      </w:r>
      <w:bookmarkEnd w:id="24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406"/>
        <w:gridCol w:w="7382"/>
      </w:tblGrid>
      <w:tr>
        <w:trPr>
          <w:cantSplit/>
          <w:tblHeader/>
        </w:trPr>
        <w:tc>
          <w:tcPr>
            <w:tcW w:type="pct" w:w="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Código</w:t>
            </w:r>
          </w:p>
        </w:tc>
        <w:tc>
          <w:tcPr>
            <w:tcW w:type="pct" w:w="4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Requisito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SEC-002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Palavras-passe guardadas com derivação forte (scrypt) e política mínima de complexidade.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SEC-003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Sessões com cookie protegido e token opaco; a base guarda apenas o hash da sessão.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SEC-004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Isolamento por empresa garantido no servidor em cada chamada (AT-001).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SEC-005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HTTPS obrigatório em produção.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SEC-006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Expiração por inactividade e revogação imediata por dispositivo.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SEC-007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Ficheiros privados com hash e download autorizado.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SEC-008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Limites de tentativas (rate limiting) na entrada, na recepção GPS e na sincronização.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SEC-009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Auditoria das operações críticas com autor, data e antes/depois (AT-019).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PRV-003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Acesso proporcional à função: perfis sem necessidade de rastreio não veem posições; acessos auditados.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NFR-004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Listas paginadas e índices de base de dados nos campos mais consultados.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OPS-001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Procedimento de cópia de segurança periódica, documentado para o operador (§12.4).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OPS-002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Plano de restauro com verificação de estrutura após o restauro (AT-020).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OPS-003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Objectivos de continuidade propostos: recuperação de dados até 24 horas e retoma em 8 horas; a validar com a operação.</w:t>
            </w:r>
          </w:p>
        </w:tc>
      </w:tr>
      <w:tr>
        <w:trPr>
          <w:cantSplit/>
        </w:trPr>
        <w:tc>
          <w:tcPr>
            <w:tcW w:type="pct" w:w="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OPS-004</w:t>
            </w:r>
          </w:p>
        </w:tc>
        <w:tc>
          <w:tcPr>
            <w:tcW w:type="pct" w:w="4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Plano de incidentes: perda de telemóvel, rastreador sem sinal, fornecedor GPS indisposto.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OPS-005</w:t>
            </w:r>
          </w:p>
        </w:tc>
        <w:tc>
          <w:tcPr>
            <w:tcW w:type="pct" w:w="4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2"/>
                <w:szCs w:val="22"/>
              </w:rPr>
              <w:t xml:space="preserve">Segredos apenas em variáveis de ambiente; chave da API GPS revelada uma única vez, com rotação suportada.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5" w:id="25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15. Relatórios e exportações (§15)</w:t>
      </w:r>
      <w:bookmarkEnd w:id="25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quadros do Painel e de Relatórios distinguem despesas pendentes de despesas aprovadas. As exportações saem em CSV, ficam registadas com autor e data, e servem a auditoria e a contabilidade (§15.1).</w:t>
      </w:r>
    </w:p>
    <w:p>
      <w:pPr>
        <w:pStyle w:val="Heading1"/>
        <w:keepNext/>
        <w:spacing w:after="180" w:before="420" w:line="312"/>
      </w:pPr>
      <w:bookmarkStart w:name="_Toc26" w:id="26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16. Critérios de aceitação (AT)</w:t>
      </w:r>
      <w:bookmarkEnd w:id="26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Os cenários AT provam o cumprimento dos requisitos. Executaram-se end-to-end, com evidência registada, os cenários aplicáveis ao software; os que exigem hardware real ou acção do operador ficam declarados como pendentes de homologação, sem qualquer simulação apresentada como real (DEV-003).</w:t>
      </w:r>
    </w:p>
    <w:p>
      <w:pPr>
        <w:keepNext/>
        <w:spacing w:after="80" w:before="120"/>
      </w:pPr>
      <w:r>
        <w:rPr>
          <w:rFonts w:ascii="Calibri" w:cs="Calibri" w:eastAsia="Calibri" w:hAnsi="Calibri"/>
          <w:b/>
          <w:bCs/>
          <w:color w:val="5F6F6D"/>
          <w:sz w:val="21"/>
          <w:szCs w:val="21"/>
        </w:rPr>
        <w:t xml:space="preserve">Resumo dos cenários de aceitação</w:t>
      </w:r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1230"/>
        <w:gridCol w:w="5624"/>
        <w:gridCol w:w="1933"/>
      </w:tblGrid>
      <w:tr>
        <w:trPr>
          <w:cantSplit/>
          <w:tblHeader/>
        </w:trPr>
        <w:tc>
          <w:tcPr>
            <w:tcW w:type="pct" w:w="7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Cenário</w:t>
            </w:r>
          </w:p>
        </w:tc>
        <w:tc>
          <w:tcPr>
            <w:tcW w:type="pct" w:w="3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 que verifica</w:t>
            </w:r>
          </w:p>
        </w:tc>
        <w:tc>
          <w:tcPr>
            <w:tcW w:type="pct" w:w="11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AT-001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Isolamento por empresa: empresa B não vê dados da empresa A.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AT-002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Motorista vê apenas a sua viagem e as suas despesas.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AT-003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Partida bloqueada sem checklist em ordem e sem rastreador.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AT-005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Pontos GPS atrasados chegam com hora original e ordem correcta.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AT-006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Frescura do ponto correcta no mapa e no painel.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AT-008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Registos offline do motorista chegam íntegros.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AT-009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Idempotência: três envios iguais criam um só registo.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AT-011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Compressão de fotografias no próprio telemóvel.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AT-013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Conversão cambial reproduzível ao centavo.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AT-015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Detecção de despesas duplicadas.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AT-016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Conflito de recursos explicado e recusado.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AT-017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Documento e carta expirados bloqueiam novas viagens.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AT-018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Ordem crítica bloqueia; libertação com prova.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AT-019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Auditoria consultável com antes e depois.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AT-023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Fecho da viagem com pendências resolvidas.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AT-024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Integridade dos ficheiros privados com hash.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Verificado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AT-004 / AT-007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Comportamento do rastreador físico (energia, tamper).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Com hardware real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AT-020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Restauro de cópia de segurança em ambiente controlado.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Acção do operador</w:t>
            </w:r>
          </w:p>
        </w:tc>
      </w:tr>
      <w:tr>
        <w:trPr>
          <w:cantSplit/>
        </w:trPr>
        <w:tc>
          <w:tcPr>
            <w:tcW w:type="pct" w:w="7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AT-021 / AT-022</w:t>
            </w:r>
          </w:p>
        </w:tc>
        <w:tc>
          <w:tcPr>
            <w:tcW w:type="pct" w:w="3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Mapa offline e telemetria em rota real.</w:t>
            </w:r>
          </w:p>
        </w:tc>
        <w:tc>
          <w:tcPr>
            <w:tcW w:type="pct" w:w="11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Com hardware real</w:t>
            </w:r>
          </w:p>
        </w:tc>
      </w:tr>
      <w:tr>
        <w:trPr>
          <w:cantSplit/>
        </w:trPr>
        <w:tc>
          <w:tcPr>
            <w:tcW w:type="pct" w:w="7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AT-025</w:t>
            </w:r>
          </w:p>
        </w:tc>
        <w:tc>
          <w:tcPr>
            <w:tcW w:type="pct" w:w="3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Carga e desempenho com frota completa em produção.</w:t>
            </w:r>
          </w:p>
        </w:tc>
        <w:tc>
          <w:tcPr>
            <w:tcW w:type="pct" w:w="11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0"/>
                <w:szCs w:val="20"/>
              </w:rPr>
              <w:t xml:space="preserve">Fase de produção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7" w:id="27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17. Fases de entrega (§17, §18)</w:t>
      </w:r>
      <w:bookmarkEnd w:id="27"/>
    </w:p>
    <w:tbl>
      <w:tblPr>
        <w:tblW w:type="pct" w:w="5000"/>
        <w:tblBorders>
          <w:top w:val="single" w:color="115E59" w:sz="4"/>
          <w:left w:val="none" w:color="FFFFFF" w:sz="0"/>
          <w:bottom w:val="single" w:color="115E59" w:sz="4"/>
          <w:right w:val="none" w:color="FFFFFF" w:sz="0"/>
          <w:insideH w:val="single" w:color="C6DAD6" w:sz="2"/>
          <w:insideV w:val="none" w:color="FFFFFF" w:sz="0"/>
        </w:tblBorders>
      </w:tblPr>
      <w:tblGrid>
        <w:gridCol w:w="3867"/>
        <w:gridCol w:w="4921"/>
      </w:tblGrid>
      <w:tr>
        <w:trPr>
          <w:cantSplit/>
          <w:tblHeader/>
        </w:trPr>
        <w:tc>
          <w:tcPr>
            <w:tcW w:type="pct" w:w="22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Fase</w:t>
            </w:r>
          </w:p>
        </w:tc>
        <w:tc>
          <w:tcPr>
            <w:tcW w:type="pct" w:w="2800"/>
            <w:shd w:fill="115E5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0 — descoberta e desenho</w:t>
            </w:r>
          </w:p>
        </w:tc>
        <w:tc>
          <w:tcPr>
            <w:tcW w:type="pct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pct" w:w="2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1 — núcleo operacional (frota, viagens, checklist, despesas)</w:t>
            </w:r>
          </w:p>
        </w:tc>
        <w:tc>
          <w:tcPr>
            <w:tcW w:type="pct" w:w="2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2 — operação offline do motorista</w:t>
            </w:r>
          </w:p>
        </w:tc>
        <w:tc>
          <w:tcPr>
            <w:tcW w:type="pct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Concluída</w:t>
            </w:r>
          </w:p>
        </w:tc>
      </w:tr>
      <w:tr>
        <w:trPr>
          <w:cantSplit/>
        </w:trPr>
        <w:tc>
          <w:tcPr>
            <w:tcW w:type="pct" w:w="2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3 — GPS autónomo</w:t>
            </w:r>
          </w:p>
        </w:tc>
        <w:tc>
          <w:tcPr>
            <w:tcW w:type="pct" w:w="2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Código pronto; homologação de hardware pendente</w:t>
            </w:r>
          </w:p>
        </w:tc>
      </w:tr>
      <w:tr>
        <w:trPr>
          <w:cantSplit/>
        </w:trPr>
        <w:tc>
          <w:tcPr>
            <w:tcW w:type="pct" w:w="22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4 — controlo financeiro e manutenção avançados</w:t>
            </w:r>
          </w:p>
        </w:tc>
        <w:tc>
          <w:tcPr>
            <w:tcW w:type="pct" w:w="2800"/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Concluída (stock de peças e contabilidade em fase posterior)</w:t>
            </w:r>
          </w:p>
        </w:tc>
      </w:tr>
      <w:tr>
        <w:trPr>
          <w:cantSplit/>
        </w:trPr>
        <w:tc>
          <w:tcPr>
            <w:tcW w:type="pct" w:w="22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Fase 5 — piloto e produção</w:t>
            </w:r>
          </w:p>
        </w:tc>
        <w:tc>
          <w:tcPr>
            <w:tcW w:type="pct" w:w="2800"/>
            <w:shd w:fill="EEF6F5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line="288"/>
            </w:pPr>
            <w:r>
              <w:rPr>
                <w:rFonts w:ascii="Calibri" w:cs="Calibri" w:eastAsia="Calibri" w:hAnsi="Calibri"/>
                <w:color w:val="222B2A"/>
                <w:sz w:val="21"/>
                <w:szCs w:val="21"/>
              </w:rPr>
              <w:t xml:space="preserve">Em curso, com procedimentos documentados</w:t>
            </w:r>
          </w:p>
        </w:tc>
      </w:tr>
    </w:tbl>
    <w:p>
      <w:pPr>
        <w:pStyle w:val="Heading1"/>
        <w:keepNext/>
        <w:spacing w:after="180" w:before="420" w:line="312"/>
      </w:pPr>
      <w:bookmarkStart w:name="_Toc28" w:id="28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18. Integrações e homologação (§19)</w:t>
      </w:r>
      <w:bookmarkEnd w:id="28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O sistema funciona sem nenhum fornecedor contratado. Todos os pontos de ligação existem e estão isolados; a activação de cada fornecedor não altera os restantes módulos.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ARC-002 — Rastreadores: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recepção autónoma de telemetria com autenticação por dispositivo, deduplicação e reenvio ordenado. Cada modelo de equipamento exige homologação prévia (ARC-005): documentação do protocolo, memória offline de 30 dias, bateria de reserva, eventos de energia e teste real com e sem rede.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ARC-004 — Mapa offline: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visualização online usa mapas abertos; guardar mapas no aparelho exige fornecedor com licença explícita.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Avisos externos: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a caixa de entrada dentro do sistema está activa; SMS, e-mail e WhatsApp entram com fornecedor contratado, sem alterar módulos.</w:t>
      </w:r>
    </w:p>
    <w:p>
      <w:pPr>
        <w:spacing w:after="80" w:line="312"/>
        <w:ind w:left="620" w:hanging="280"/>
        <w:jc w:val="left"/>
      </w:pPr>
      <w:r>
        <w:rPr>
          <w:rFonts w:ascii="Calibri" w:cs="Calibri" w:eastAsia="Calibri" w:hAnsi="Calibri"/>
          <w:color w:val="115E59"/>
          <w:sz w:val="24"/>
          <w:szCs w:val="24"/>
        </w:rPr>
        <w:t xml:space="preserve">•  </w:t>
      </w: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Câmbio automático:</w:t>
      </w:r>
      <w:r>
        <w:rPr>
          <w:rFonts w:ascii="Calibri" w:cs="Calibri" w:eastAsia="Calibri" w:hAnsi="Calibri"/>
          <w:color w:val="222B2A"/>
          <w:sz w:val="24"/>
          <w:szCs w:val="24"/>
        </w:rPr>
        <w:t xml:space="preserve"> hoje manual e auditado; a fonte automática activa-se com credenciais do fornecedor.</w:t>
      </w:r>
    </w:p>
    <w:p>
      <w:pPr>
        <w:pStyle w:val="Heading1"/>
        <w:keepNext/>
        <w:spacing w:after="180" w:before="420" w:line="312"/>
      </w:pPr>
      <w:bookmarkStart w:name="_Toc29" w:id="29"/>
      <w:r>
        <w:rPr>
          <w:rFonts w:ascii="Calibri" w:cs="Calibri" w:eastAsia="Calibri" w:hAnsi="Calibri"/>
          <w:b/>
          <w:bCs/>
          <w:color w:val="0E3F3C"/>
          <w:sz w:val="32"/>
          <w:szCs w:val="32"/>
        </w:rPr>
        <w:t xml:space="preserve">19. Regras de desenvolvimento (DEV)</w:t>
      </w:r>
      <w:bookmarkEnd w:id="29"/>
    </w:p>
    <w:p>
      <w:pPr>
        <w:spacing w:after="140" w:line="312"/>
        <w:jc w:val="both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A construção seguiu regras próprias, verificadas na entrega: decomposição do trabalho em tarefas registadas (DEV-001), ambiente inspecionado antes de codificar (DEV-002), demonstração sempre identificada (DEV-003), ausência de controlos mortos (DEV-004), regras críticas nunca enfraquecidas (DEV-005), migrações incrementais (DEV-006), segredos fora do código (DEV-007), decisões registadas com alternativas e riscos (DEV-008), nenhuma compatibilidade inventada nas integrações (DEV-009) e documentação completa acompanhando o código (DEV-010).</w:t>
      </w:r>
    </w:p>
    <w:p>
      <w:pPr>
        <w:spacing w:after="160"/>
      </w:pP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SRS v1.0 — 27 de Outubro de 2026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b/>
          <w:bCs/>
          <w:color w:val="222B2A"/>
          <w:sz w:val="24"/>
          <w:szCs w:val="24"/>
        </w:rPr>
        <w:t xml:space="preserve">Filomeno Manuel Joaquim Alexandre</w:t>
      </w:r>
    </w:p>
    <w:p>
      <w:pPr>
        <w:spacing w:after="140" w:line="312"/>
        <w:jc w:val="center"/>
      </w:pPr>
      <w:r>
        <w:rPr>
          <w:rFonts w:ascii="Calibri" w:cs="Calibri" w:eastAsia="Calibri" w:hAnsi="Calibri"/>
          <w:color w:val="222B2A"/>
          <w:sz w:val="24"/>
          <w:szCs w:val="24"/>
        </w:rPr>
        <w:t xml:space="preserve">Beira — Moçambique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ROMAN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F6F6D"/>
        <w:sz w:val="18"/>
        <w:szCs w:val="18"/>
      </w:rPr>
      <w:fldChar w:fldCharType="begin"/>
    </w:r>
    <w:r>
      <w:rPr>
        <w:rFonts w:ascii="Calibri" w:cs="Calibri" w:eastAsia="Calibri" w:hAnsi="Calibri"/>
        <w:color w:val="5F6F6D"/>
        <w:sz w:val="18"/>
        <w:szCs w:val="18"/>
      </w:rPr>
      <w:instrText xml:space="preserve"> PAGE \* arabic \* MERGEFORMAT </w:instrText>
    </w:r>
    <w:r>
      <w:rPr>
        <w:rFonts w:ascii="Calibri" w:cs="Calibri" w:eastAsia="Calibri" w:hAnsi="Calibri"/>
        <w:color w:val="5F6F6D"/>
        <w:sz w:val="18"/>
        <w:szCs w:val="18"/>
      </w:rPr>
      <w:fldChar w:fldCharType="separate"/>
    </w:r>
    <w:r>
      <w:rPr>
        <w:rFonts w:ascii="Calibri" w:cs="Calibri" w:eastAsia="Calibri" w:hAnsi="Calibri"/>
        <w:color w:val="5F6F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6DAD6" w:sz="2" w:space="4"/>
      </w:pBdr>
      <w:jc w:val="right"/>
    </w:pPr>
    <w:r>
      <w:rPr>
        <w:rFonts w:ascii="Calibri" w:cs="Calibri" w:eastAsia="Calibri" w:hAnsi="Calibri"/>
        <w:color w:val="5F6F6D"/>
        <w:sz w:val="16"/>
        <w:szCs w:val="16"/>
      </w:rPr>
      <w:t xml:space="preserve">SIGFCO — Especificação de Requisitos de Software (SRS 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B2A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420" w:line="312"/>
      <w:outlineLvl w:val="0"/>
    </w:pPr>
    <w:rPr>
      <w:rFonts w:ascii="Calibri" w:cs="Calibri" w:eastAsia="Calibri" w:hAnsi="Calibri"/>
      <w:b/>
      <w:bCs/>
      <w:color w:val="0E3F3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  <w:outlineLvl w:val="1"/>
    </w:pPr>
    <w:rPr>
      <w:rFonts w:ascii="Calibri" w:cs="Calibri" w:eastAsia="Calibri" w:hAnsi="Calibri"/>
      <w:b/>
      <w:bCs/>
      <w:color w:val="0E3F3C"/>
      <w:sz w:val="27"/>
      <w:szCs w:val="27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Especificação de Requisitos de Software</dc:title>
  <dc:creator>Filomeno Manuel Joaquim Alexandre</dc:creator>
  <cp:lastModifiedBy>Un-named</cp:lastModifiedBy>
  <cp:revision>1</cp:revision>
  <dcterms:created xsi:type="dcterms:W3CDTF">2026-10-30T05:19:18.911Z</dcterms:created>
  <dcterms:modified xsi:type="dcterms:W3CDTF">2026-10-30T05:19:18.911Z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