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7A73" w14:textId="0D906087" w:rsidR="005F4061" w:rsidRDefault="00F12B96" w:rsidP="00F12B96">
      <w:pPr>
        <w:pStyle w:val="Nadpis1"/>
      </w:pPr>
      <w:r>
        <w:t>14 Normalizace databáze</w:t>
      </w:r>
    </w:p>
    <w:p w14:paraId="76D3C8F9" w14:textId="2CFA545C" w:rsidR="00F12B96" w:rsidRDefault="00F12B96" w:rsidP="00F12B96">
      <w:pPr>
        <w:pStyle w:val="Odstavecseseznamem"/>
        <w:numPr>
          <w:ilvl w:val="0"/>
          <w:numId w:val="1"/>
        </w:numPr>
      </w:pPr>
      <w:r>
        <w:t>Proces, při kterém rozkládáme relace za účelem</w:t>
      </w:r>
    </w:p>
    <w:p w14:paraId="1A83264A" w14:textId="26204FE5" w:rsidR="00F12B96" w:rsidRDefault="00F12B96" w:rsidP="00F12B96">
      <w:pPr>
        <w:pStyle w:val="Odstavecseseznamem"/>
        <w:numPr>
          <w:ilvl w:val="1"/>
          <w:numId w:val="1"/>
        </w:numPr>
      </w:pPr>
      <w:r>
        <w:t>Jednodušší práce s daty, jednodušší manipulací</w:t>
      </w:r>
    </w:p>
    <w:p w14:paraId="40A5DB42" w14:textId="2DFE3BDA" w:rsidR="00F12B96" w:rsidRDefault="00F12B96" w:rsidP="00F12B96">
      <w:pPr>
        <w:pStyle w:val="Odstavecseseznamem"/>
        <w:numPr>
          <w:ilvl w:val="1"/>
          <w:numId w:val="1"/>
        </w:numPr>
      </w:pPr>
      <w:r>
        <w:t>Zabránění redundance</w:t>
      </w:r>
    </w:p>
    <w:p w14:paraId="0D4AD6AA" w14:textId="47DD0A94" w:rsidR="00F12B96" w:rsidRDefault="00F12B96" w:rsidP="00F12B96">
      <w:pPr>
        <w:pStyle w:val="Odstavecseseznamem"/>
        <w:numPr>
          <w:ilvl w:val="1"/>
          <w:numId w:val="1"/>
        </w:numPr>
      </w:pPr>
      <w:r>
        <w:t>Lepší konzistence</w:t>
      </w:r>
    </w:p>
    <w:p w14:paraId="23A3F43B" w14:textId="22FCE464" w:rsidR="00F12B96" w:rsidRDefault="00857175" w:rsidP="00F12B96">
      <w:pPr>
        <w:pStyle w:val="Odstavecseseznamem"/>
        <w:numPr>
          <w:ilvl w:val="0"/>
          <w:numId w:val="1"/>
        </w:numPr>
      </w:pPr>
      <w:r>
        <w:t>Přeorganizování dat v tabulkách pro lepší práci s daty</w:t>
      </w:r>
    </w:p>
    <w:p w14:paraId="05EBB2AD" w14:textId="20DEEFD8" w:rsidR="00F12B96" w:rsidRDefault="00F12B96" w:rsidP="00F12B96">
      <w:pPr>
        <w:pStyle w:val="Odstavecseseznamem"/>
        <w:numPr>
          <w:ilvl w:val="0"/>
          <w:numId w:val="1"/>
        </w:numPr>
      </w:pPr>
      <w:r>
        <w:t>S normalizací souvisí optimalizace</w:t>
      </w:r>
    </w:p>
    <w:p w14:paraId="45C4D17E" w14:textId="4354A230" w:rsidR="00F12B96" w:rsidRDefault="00F12B96" w:rsidP="00F12B96">
      <w:pPr>
        <w:pStyle w:val="Odstavecseseznamem"/>
        <w:numPr>
          <w:ilvl w:val="0"/>
          <w:numId w:val="1"/>
        </w:numPr>
      </w:pPr>
      <w:r>
        <w:t>Čím je tabulka ve vyšší normové formě, tím je menší šance narušení integrity dat, ale vzrůstá potřebný výkon a efektivita</w:t>
      </w:r>
    </w:p>
    <w:p w14:paraId="4086823C" w14:textId="119C03E3" w:rsidR="00F12B96" w:rsidRDefault="00F12B96" w:rsidP="00F12B96">
      <w:pPr>
        <w:pStyle w:val="Odstavecseseznamem"/>
        <w:numPr>
          <w:ilvl w:val="0"/>
          <w:numId w:val="1"/>
        </w:numPr>
      </w:pPr>
      <w:r>
        <w:t>Snaha optimalizace je dostat se co nejvýše a pak zvolit rovnovážnou úroveň</w:t>
      </w:r>
    </w:p>
    <w:p w14:paraId="294DE32C" w14:textId="5AD289A6" w:rsidR="00F12B96" w:rsidRDefault="00F12B96" w:rsidP="00F12B96">
      <w:pPr>
        <w:pStyle w:val="Odstavecseseznamem"/>
        <w:numPr>
          <w:ilvl w:val="0"/>
          <w:numId w:val="1"/>
        </w:numPr>
      </w:pPr>
      <w:r>
        <w:t>Obvykle ustáleno na N3</w:t>
      </w:r>
    </w:p>
    <w:p w14:paraId="59F77D6B" w14:textId="45CFCA7F" w:rsidR="00857175" w:rsidRDefault="00857175" w:rsidP="00857175">
      <w:pPr>
        <w:pStyle w:val="Nadpis2"/>
      </w:pPr>
      <w:r>
        <w:t xml:space="preserve">OLAP – 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4F984925" w14:textId="09A3CDEF" w:rsidR="00857175" w:rsidRDefault="00857175" w:rsidP="00857175">
      <w:pPr>
        <w:pStyle w:val="Odstavecseseznamem"/>
        <w:numPr>
          <w:ilvl w:val="0"/>
          <w:numId w:val="2"/>
        </w:numPr>
      </w:pPr>
      <w:r>
        <w:t>Technologie uložení dat v DB</w:t>
      </w:r>
    </w:p>
    <w:p w14:paraId="113DE9CE" w14:textId="52177B14" w:rsidR="00857175" w:rsidRDefault="00857175" w:rsidP="00857175">
      <w:pPr>
        <w:pStyle w:val="Odstavecseseznamem"/>
        <w:numPr>
          <w:ilvl w:val="0"/>
          <w:numId w:val="2"/>
        </w:numPr>
      </w:pPr>
      <w:r>
        <w:t>Umožňuje ukládat velké množství dat za účelem porozumění ze strany uživatel zabývajících se obchodními trendy a výsledky</w:t>
      </w:r>
    </w:p>
    <w:p w14:paraId="69D994FD" w14:textId="3C24044A" w:rsidR="00857175" w:rsidRDefault="00857175" w:rsidP="00857175">
      <w:pPr>
        <w:pStyle w:val="Odstavecseseznamem"/>
        <w:numPr>
          <w:ilvl w:val="0"/>
          <w:numId w:val="2"/>
        </w:numPr>
      </w:pPr>
      <w:r>
        <w:t>Business inteligence (souhrny prodejů…)</w:t>
      </w:r>
    </w:p>
    <w:p w14:paraId="4CC56DA3" w14:textId="7E068C48" w:rsidR="00857175" w:rsidRDefault="00857175" w:rsidP="00857175">
      <w:pPr>
        <w:pStyle w:val="Odstavecseseznamem"/>
        <w:numPr>
          <w:ilvl w:val="0"/>
          <w:numId w:val="2"/>
        </w:numPr>
      </w:pPr>
      <w:r>
        <w:t>Analytické účely nad rozsáhlými databázemi</w:t>
      </w:r>
    </w:p>
    <w:p w14:paraId="5C409653" w14:textId="04EE1DE5" w:rsidR="00857175" w:rsidRDefault="00857175" w:rsidP="00857175">
      <w:pPr>
        <w:pStyle w:val="Odstavecseseznamem"/>
        <w:numPr>
          <w:ilvl w:val="0"/>
          <w:numId w:val="2"/>
        </w:numPr>
      </w:pPr>
      <w:r>
        <w:t>Jednorázově nahraná data, nenormalizovaná, složité dotazy</w:t>
      </w:r>
    </w:p>
    <w:p w14:paraId="3DFD7F95" w14:textId="7AB6B5D0" w:rsidR="00857175" w:rsidRDefault="00857175" w:rsidP="00857175">
      <w:pPr>
        <w:pStyle w:val="Odstavecseseznamem"/>
        <w:numPr>
          <w:ilvl w:val="0"/>
          <w:numId w:val="2"/>
        </w:numPr>
      </w:pPr>
      <w:r>
        <w:t>Rychlé získání dat ale pomalá transakce</w:t>
      </w:r>
    </w:p>
    <w:p w14:paraId="4E69F90D" w14:textId="49313583" w:rsidR="007271BF" w:rsidRDefault="007271BF" w:rsidP="00857175">
      <w:pPr>
        <w:pStyle w:val="Odstavecseseznamem"/>
        <w:numPr>
          <w:ilvl w:val="0"/>
          <w:numId w:val="2"/>
        </w:numPr>
      </w:pPr>
      <w:r>
        <w:t>Na rozdíl od relačních DB pracuje s datovou kostkou</w:t>
      </w:r>
    </w:p>
    <w:p w14:paraId="7FDEBC0D" w14:textId="09E37D04" w:rsidR="007271BF" w:rsidRDefault="007271BF" w:rsidP="007271BF">
      <w:pPr>
        <w:pStyle w:val="Nadpis2"/>
      </w:pPr>
      <w:r>
        <w:t xml:space="preserve">OLTP – Online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773FB39A" w14:textId="0EC0070C" w:rsidR="007271BF" w:rsidRDefault="007271BF" w:rsidP="007271BF">
      <w:pPr>
        <w:pStyle w:val="Odstavecseseznamem"/>
        <w:numPr>
          <w:ilvl w:val="0"/>
          <w:numId w:val="3"/>
        </w:numPr>
      </w:pPr>
      <w:r>
        <w:t>Ve většině DB aplikací</w:t>
      </w:r>
    </w:p>
    <w:p w14:paraId="77DB06F0" w14:textId="202C8D85" w:rsidR="007271BF" w:rsidRDefault="007271BF" w:rsidP="007271BF">
      <w:pPr>
        <w:pStyle w:val="Odstavecseseznamem"/>
        <w:numPr>
          <w:ilvl w:val="0"/>
          <w:numId w:val="3"/>
        </w:numPr>
      </w:pPr>
      <w:r>
        <w:t>Protiklad OLAP</w:t>
      </w:r>
    </w:p>
    <w:p w14:paraId="08E8BE01" w14:textId="76FCCA3A" w:rsidR="007271BF" w:rsidRDefault="007271BF" w:rsidP="007271BF">
      <w:pPr>
        <w:pStyle w:val="Odstavecseseznamem"/>
        <w:numPr>
          <w:ilvl w:val="0"/>
          <w:numId w:val="3"/>
        </w:numPr>
      </w:pPr>
      <w:r>
        <w:t>Data průběžně a často modifikována a spravována mnoha uživateli</w:t>
      </w:r>
    </w:p>
    <w:p w14:paraId="5AE7100D" w14:textId="3D9521A0" w:rsidR="007271BF" w:rsidRDefault="007271BF" w:rsidP="007271BF">
      <w:pPr>
        <w:pStyle w:val="Odstavecseseznamem"/>
        <w:numPr>
          <w:ilvl w:val="1"/>
          <w:numId w:val="3"/>
        </w:numPr>
      </w:pPr>
      <w:r>
        <w:t>Normalizace</w:t>
      </w:r>
    </w:p>
    <w:p w14:paraId="1019D690" w14:textId="5D68E208" w:rsidR="007271BF" w:rsidRDefault="007271BF" w:rsidP="007271BF">
      <w:pPr>
        <w:pStyle w:val="Odstavecseseznamem"/>
        <w:numPr>
          <w:ilvl w:val="0"/>
          <w:numId w:val="3"/>
        </w:numPr>
      </w:pPr>
      <w:r>
        <w:t>Umožňuje co nejsnadnější a nejbezpečnější modifikaci dat v </w:t>
      </w:r>
      <w:proofErr w:type="spellStart"/>
      <w:r>
        <w:t>multiuser</w:t>
      </w:r>
      <w:proofErr w:type="spellEnd"/>
      <w:r>
        <w:t xml:space="preserve"> prostředí</w:t>
      </w:r>
    </w:p>
    <w:p w14:paraId="1BB4325D" w14:textId="63DB8150" w:rsidR="007271BF" w:rsidRPr="007271BF" w:rsidRDefault="007271BF" w:rsidP="007271BF">
      <w:pPr>
        <w:pStyle w:val="Odstavecseseznamem"/>
        <w:numPr>
          <w:ilvl w:val="0"/>
          <w:numId w:val="3"/>
        </w:numPr>
      </w:pPr>
      <w:r>
        <w:t>Transakčně orientovaný</w:t>
      </w:r>
    </w:p>
    <w:p w14:paraId="760EC624" w14:textId="3A6E81DD" w:rsidR="007271BF" w:rsidRDefault="007271BF" w:rsidP="007271BF">
      <w:pPr>
        <w:pStyle w:val="Nadpis2"/>
      </w:pPr>
      <w:r w:rsidRPr="007271BF">
        <w:drawing>
          <wp:inline distT="0" distB="0" distL="0" distR="0" wp14:anchorId="7F64A373" wp14:editId="6F49BA63">
            <wp:extent cx="5326380" cy="3010180"/>
            <wp:effectExtent l="0" t="0" r="762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080" cy="30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273F" w14:textId="3A2F0D24" w:rsidR="00F12B96" w:rsidRDefault="007271BF" w:rsidP="007271BF">
      <w:pPr>
        <w:pStyle w:val="Nadpis2"/>
      </w:pPr>
      <w:r>
        <w:br w:type="page"/>
      </w:r>
      <w:r>
        <w:lastRenderedPageBreak/>
        <w:t>Stupně normalizace</w:t>
      </w:r>
    </w:p>
    <w:p w14:paraId="3A17E782" w14:textId="1FFCFB61" w:rsidR="007271BF" w:rsidRDefault="007271BF" w:rsidP="007271BF">
      <w:r w:rsidRPr="007271BF">
        <w:drawing>
          <wp:inline distT="0" distB="0" distL="0" distR="0" wp14:anchorId="10376556" wp14:editId="02DAD3D3">
            <wp:extent cx="6492240" cy="3986802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62" cy="39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4C8" w14:textId="77FCF1E8" w:rsidR="007271BF" w:rsidRDefault="00B15685" w:rsidP="00B15685">
      <w:pPr>
        <w:pStyle w:val="Nadpis3"/>
      </w:pPr>
      <w:r>
        <w:t>UNF – Nenormalizováno</w:t>
      </w:r>
    </w:p>
    <w:p w14:paraId="3DD94E7D" w14:textId="71C2B9D9" w:rsidR="00B15685" w:rsidRDefault="00B15685" w:rsidP="00B15685">
      <w:pPr>
        <w:pStyle w:val="Nadpis3"/>
      </w:pPr>
      <w:r>
        <w:t>0NF – nultá normální forma</w:t>
      </w:r>
    </w:p>
    <w:p w14:paraId="4163C094" w14:textId="7DF8403A" w:rsidR="00B15685" w:rsidRDefault="00B15685" w:rsidP="00B15685">
      <w:pPr>
        <w:pStyle w:val="Odstavecseseznamem"/>
        <w:numPr>
          <w:ilvl w:val="0"/>
          <w:numId w:val="4"/>
        </w:numPr>
      </w:pPr>
      <w:r>
        <w:t>V praxi téměř vždy automaticky splněno</w:t>
      </w:r>
    </w:p>
    <w:p w14:paraId="37C4E450" w14:textId="184C20B7" w:rsidR="00B15685" w:rsidRDefault="00B15685" w:rsidP="00B15685">
      <w:pPr>
        <w:pStyle w:val="Odstavecseseznamem"/>
        <w:numPr>
          <w:ilvl w:val="0"/>
          <w:numId w:val="4"/>
        </w:numPr>
      </w:pPr>
      <w:r>
        <w:t>Pokud je v relaci atribut s více než jednou hodnotou (neatomický)</w:t>
      </w:r>
    </w:p>
    <w:p w14:paraId="3B8FD28A" w14:textId="6EE55DA9" w:rsidR="00B15685" w:rsidRDefault="00B15685" w:rsidP="00B15685">
      <w:pPr>
        <w:pStyle w:val="Odstavecseseznamem"/>
        <w:numPr>
          <w:ilvl w:val="0"/>
          <w:numId w:val="4"/>
        </w:numPr>
      </w:pPr>
      <w:r w:rsidRPr="00B15685">
        <w:drawing>
          <wp:inline distT="0" distB="0" distL="0" distR="0" wp14:anchorId="251BFD5B" wp14:editId="5950F95E">
            <wp:extent cx="3078480" cy="966594"/>
            <wp:effectExtent l="0" t="0" r="7620" b="508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482" cy="9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66A" w14:textId="2DA27E6A" w:rsidR="00B15685" w:rsidRDefault="00B15685" w:rsidP="00341734">
      <w:pPr>
        <w:pStyle w:val="Nadpis3"/>
      </w:pPr>
      <w:r>
        <w:t>1NF – první normální forma</w:t>
      </w:r>
    </w:p>
    <w:p w14:paraId="4DD88019" w14:textId="4AC9A6AE" w:rsidR="00B15685" w:rsidRDefault="00B15685" w:rsidP="00B15685">
      <w:pPr>
        <w:pStyle w:val="Odstavecseseznamem"/>
        <w:numPr>
          <w:ilvl w:val="0"/>
          <w:numId w:val="5"/>
        </w:numPr>
      </w:pPr>
      <w:r>
        <w:t>Všechna data atomická, rozděluje právě data z 0NF</w:t>
      </w:r>
    </w:p>
    <w:p w14:paraId="350C2F36" w14:textId="6F4DFE3A" w:rsidR="00B15685" w:rsidRDefault="00341734" w:rsidP="00B15685">
      <w:pPr>
        <w:pStyle w:val="Odstavecseseznamem"/>
        <w:numPr>
          <w:ilvl w:val="0"/>
          <w:numId w:val="5"/>
        </w:numPr>
      </w:pPr>
      <w:r>
        <w:t>Nová tabulka s FK pro neatomické atributy</w:t>
      </w:r>
    </w:p>
    <w:p w14:paraId="1E1EEB49" w14:textId="127B6451" w:rsidR="00341734" w:rsidRDefault="00341734" w:rsidP="00B15685">
      <w:pPr>
        <w:pStyle w:val="Odstavecseseznamem"/>
        <w:numPr>
          <w:ilvl w:val="0"/>
          <w:numId w:val="5"/>
        </w:numPr>
      </w:pPr>
      <w:r w:rsidRPr="00341734">
        <w:drawing>
          <wp:inline distT="0" distB="0" distL="0" distR="0" wp14:anchorId="1F8DBB97" wp14:editId="5AEB5A1F">
            <wp:extent cx="2053290" cy="1821180"/>
            <wp:effectExtent l="0" t="0" r="4445" b="762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511" cy="18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30BF" w14:textId="7D0F8BBC" w:rsidR="00341734" w:rsidRDefault="00341734" w:rsidP="00341734">
      <w:pPr>
        <w:pStyle w:val="Nadpis3"/>
      </w:pPr>
      <w:r>
        <w:lastRenderedPageBreak/>
        <w:t>2NF – druhá normální forma</w:t>
      </w:r>
    </w:p>
    <w:p w14:paraId="5870947F" w14:textId="40D37102" w:rsidR="00341734" w:rsidRDefault="00341734" w:rsidP="00341734">
      <w:pPr>
        <w:pStyle w:val="Odstavecseseznamem"/>
        <w:numPr>
          <w:ilvl w:val="0"/>
          <w:numId w:val="6"/>
        </w:numPr>
      </w:pPr>
      <w:r>
        <w:t>Splňuje 1NF</w:t>
      </w:r>
    </w:p>
    <w:p w14:paraId="680FCA5E" w14:textId="137F1C9A" w:rsidR="00341734" w:rsidRDefault="00341734" w:rsidP="00341734">
      <w:pPr>
        <w:pStyle w:val="Odstavecseseznamem"/>
        <w:numPr>
          <w:ilvl w:val="0"/>
          <w:numId w:val="6"/>
        </w:numPr>
      </w:pPr>
      <w:r>
        <w:t>Všechny klíčové atributy jsou funkčně závislé na celém PK</w:t>
      </w:r>
    </w:p>
    <w:p w14:paraId="0E790C4D" w14:textId="20F6D544" w:rsidR="00341734" w:rsidRDefault="00341734" w:rsidP="00341734">
      <w:pPr>
        <w:pStyle w:val="Odstavecseseznamem"/>
        <w:numPr>
          <w:ilvl w:val="0"/>
          <w:numId w:val="6"/>
        </w:numPr>
      </w:pPr>
      <w:r>
        <w:t>Každý neklíčový atribut musí být plně závislý na každém kandidátním klíči</w:t>
      </w:r>
    </w:p>
    <w:p w14:paraId="38606254" w14:textId="39C5FDD3" w:rsidR="00341734" w:rsidRDefault="00341734" w:rsidP="00341734">
      <w:pPr>
        <w:pStyle w:val="Odstavecseseznamem"/>
        <w:numPr>
          <w:ilvl w:val="0"/>
          <w:numId w:val="6"/>
        </w:numPr>
      </w:pPr>
      <w:r>
        <w:t>Odstranění duplicity v záznamech</w:t>
      </w:r>
    </w:p>
    <w:p w14:paraId="5FB381C7" w14:textId="7CF797EA" w:rsidR="00341734" w:rsidRDefault="00CF5AA5" w:rsidP="00CF5AA5">
      <w:pPr>
        <w:pStyle w:val="Odstavecseseznamem"/>
      </w:pPr>
      <w:r w:rsidRPr="00CF5AA5">
        <w:drawing>
          <wp:inline distT="0" distB="0" distL="0" distR="0" wp14:anchorId="06056C5A" wp14:editId="7D966C34">
            <wp:extent cx="6027420" cy="3569147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02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64A4" w14:textId="77777777" w:rsidR="00CF5AA5" w:rsidRDefault="00CF5AA5" w:rsidP="00CF5AA5">
      <w:pPr>
        <w:pStyle w:val="Odstavecseseznamem"/>
      </w:pPr>
      <w:r w:rsidRPr="00CF5AA5">
        <w:drawing>
          <wp:inline distT="0" distB="0" distL="0" distR="0" wp14:anchorId="6AD42E02" wp14:editId="454DAF75">
            <wp:extent cx="5760720" cy="3004820"/>
            <wp:effectExtent l="0" t="0" r="0" b="5080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9A5" w14:textId="77777777" w:rsidR="00CF5AA5" w:rsidRDefault="00CF5AA5">
      <w:r>
        <w:br w:type="page"/>
      </w:r>
    </w:p>
    <w:p w14:paraId="44A274F3" w14:textId="08DBB6EE" w:rsidR="00CF5AA5" w:rsidRDefault="00CF5AA5" w:rsidP="00CF5AA5">
      <w:pPr>
        <w:pStyle w:val="Nadpis3"/>
      </w:pPr>
      <w:r>
        <w:lastRenderedPageBreak/>
        <w:t>3NF</w:t>
      </w:r>
    </w:p>
    <w:p w14:paraId="3EC5371F" w14:textId="661A9D42" w:rsidR="00CF5AA5" w:rsidRDefault="00CF5AA5" w:rsidP="00CF5AA5">
      <w:pPr>
        <w:pStyle w:val="Odstavecseseznamem"/>
        <w:numPr>
          <w:ilvl w:val="0"/>
          <w:numId w:val="7"/>
        </w:numPr>
      </w:pPr>
      <w:r>
        <w:t>Redukujeme tranzitivní závislosti na funkční</w:t>
      </w:r>
    </w:p>
    <w:p w14:paraId="062E1B40" w14:textId="67E6E488" w:rsidR="00CF5AA5" w:rsidRDefault="00CF5AA5" w:rsidP="00CF5AA5">
      <w:pPr>
        <w:pStyle w:val="Odstavecseseznamem"/>
        <w:numPr>
          <w:ilvl w:val="0"/>
          <w:numId w:val="7"/>
        </w:numPr>
      </w:pPr>
      <w:r>
        <w:t>Všechny neklíčové atributy jsou závislé pouze na PK</w:t>
      </w:r>
    </w:p>
    <w:p w14:paraId="1FDA1BD6" w14:textId="1A15DC4D" w:rsidR="00CF5AA5" w:rsidRPr="00CF5AA5" w:rsidRDefault="00CF5AA5" w:rsidP="00CF5AA5">
      <w:pPr>
        <w:pStyle w:val="Odstavecseseznamem"/>
        <w:numPr>
          <w:ilvl w:val="0"/>
          <w:numId w:val="7"/>
        </w:numPr>
      </w:pPr>
      <w:r>
        <w:t xml:space="preserve">Pokud </w:t>
      </w:r>
      <w:r w:rsidRPr="00CF5AA5">
        <w:rPr>
          <w:shd w:val="clear" w:color="auto" w:fill="FFFFFF"/>
        </w:rPr>
        <w:t>X -&gt; Y &amp;&amp; Y -&gt; Z, tak X -&gt; Z</w:t>
      </w:r>
    </w:p>
    <w:p w14:paraId="53B140AD" w14:textId="350A9FFA" w:rsidR="00CF5AA5" w:rsidRDefault="00497F14" w:rsidP="00CF5AA5">
      <w:pPr>
        <w:pStyle w:val="Odstavecseseznamem"/>
        <w:numPr>
          <w:ilvl w:val="0"/>
          <w:numId w:val="7"/>
        </w:numPr>
      </w:pPr>
      <w:r w:rsidRPr="00497F14">
        <w:drawing>
          <wp:inline distT="0" distB="0" distL="0" distR="0" wp14:anchorId="2534DE5F" wp14:editId="2B59F4A1">
            <wp:extent cx="5760720" cy="3072130"/>
            <wp:effectExtent l="0" t="0" r="0" b="0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0B57" w14:textId="08DB6169" w:rsidR="00497F14" w:rsidRDefault="00497F14" w:rsidP="00CF5AA5">
      <w:pPr>
        <w:pStyle w:val="Odstavecseseznamem"/>
        <w:numPr>
          <w:ilvl w:val="0"/>
          <w:numId w:val="7"/>
        </w:numPr>
      </w:pPr>
      <w:r w:rsidRPr="00497F14">
        <w:drawing>
          <wp:inline distT="0" distB="0" distL="0" distR="0" wp14:anchorId="6BAE1444" wp14:editId="6A5BAB0B">
            <wp:extent cx="4716780" cy="4984543"/>
            <wp:effectExtent l="0" t="0" r="7620" b="6985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650" cy="49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4EC" w14:textId="77777777" w:rsidR="00497F14" w:rsidRDefault="00497F14" w:rsidP="00497F14">
      <w:pPr>
        <w:pStyle w:val="Nadpis3"/>
        <w:rPr>
          <w:lang w:val="en-GB"/>
        </w:rPr>
      </w:pPr>
      <w:r>
        <w:lastRenderedPageBreak/>
        <w:t>Další normalizace</w:t>
      </w:r>
    </w:p>
    <w:p w14:paraId="54659AF8" w14:textId="77777777" w:rsidR="00497F14" w:rsidRPr="00497F14" w:rsidRDefault="00497F14" w:rsidP="00497F14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497F14">
        <w:rPr>
          <w:rStyle w:val="Siln"/>
          <w:rFonts w:ascii="Segoe UI" w:hAnsi="Segoe UI" w:cs="Segoe UI"/>
          <w:color w:val="24292F"/>
        </w:rPr>
        <w:t>EKNF</w:t>
      </w:r>
      <w:r>
        <w:t xml:space="preserve"> 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58F6F209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BCNF</w:t>
      </w:r>
      <w:r>
        <w:t xml:space="preserve"> – </w:t>
      </w:r>
      <w:proofErr w:type="spellStart"/>
      <w:r>
        <w:t>Boyce-Coddova</w:t>
      </w:r>
      <w:proofErr w:type="spellEnd"/>
      <w:r>
        <w:t xml:space="preserve"> normální forma</w:t>
      </w:r>
    </w:p>
    <w:p w14:paraId="14B02A39" w14:textId="77777777" w:rsidR="00497F14" w:rsidRDefault="00497F14" w:rsidP="00497F14">
      <w:pPr>
        <w:pStyle w:val="Odstavecseseznamem"/>
        <w:numPr>
          <w:ilvl w:val="1"/>
          <w:numId w:val="9"/>
        </w:numPr>
      </w:pPr>
      <w:r>
        <w:t xml:space="preserve">Splňuje 3NF a </w:t>
      </w:r>
      <w:proofErr w:type="gramStart"/>
      <w:r>
        <w:t>řeší</w:t>
      </w:r>
      <w:proofErr w:type="gramEnd"/>
      <w:r>
        <w:t xml:space="preserve"> anomálii, kdy některý z atributů, který je součástí složeného PK, je funkčně závislý na některém neklíčovém atributu</w:t>
      </w:r>
    </w:p>
    <w:p w14:paraId="45509636" w14:textId="77777777" w:rsidR="00497F14" w:rsidRDefault="00497F14" w:rsidP="00497F14">
      <w:pPr>
        <w:pStyle w:val="Odstavecseseznamem"/>
        <w:numPr>
          <w:ilvl w:val="1"/>
          <w:numId w:val="9"/>
        </w:numPr>
      </w:pPr>
      <w:r>
        <w:t>Silnější varianta 3NF</w:t>
      </w:r>
    </w:p>
    <w:p w14:paraId="3F9F76B9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4NF</w:t>
      </w:r>
      <w:r>
        <w:t> – Čtvrtá normální forma</w:t>
      </w:r>
    </w:p>
    <w:p w14:paraId="639A80A1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ETNF</w:t>
      </w:r>
      <w:r>
        <w:t xml:space="preserve"> –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39459022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5NF</w:t>
      </w:r>
      <w:r>
        <w:t> – Pátá normální forma</w:t>
      </w:r>
    </w:p>
    <w:p w14:paraId="3CB7348E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DKNF</w:t>
      </w:r>
      <w:r>
        <w:t xml:space="preserve"> – </w:t>
      </w:r>
      <w:proofErr w:type="spellStart"/>
      <w:r>
        <w:t>Domain-key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5B67FB02" w14:textId="77777777" w:rsidR="00497F14" w:rsidRDefault="00497F14" w:rsidP="00497F14">
      <w:pPr>
        <w:pStyle w:val="Odstavecseseznamem"/>
        <w:numPr>
          <w:ilvl w:val="0"/>
          <w:numId w:val="9"/>
        </w:numPr>
      </w:pPr>
      <w:r w:rsidRPr="00497F14">
        <w:rPr>
          <w:rStyle w:val="Siln"/>
          <w:rFonts w:ascii="Segoe UI" w:hAnsi="Segoe UI" w:cs="Segoe UI"/>
          <w:color w:val="24292F"/>
        </w:rPr>
        <w:t>6NF</w:t>
      </w:r>
      <w:r>
        <w:t> – Šestá normální forma</w:t>
      </w:r>
    </w:p>
    <w:p w14:paraId="6334C02D" w14:textId="7BDB0661" w:rsidR="00497F14" w:rsidRDefault="00497F14"/>
    <w:p w14:paraId="5DBF242B" w14:textId="77777777" w:rsidR="00497F14" w:rsidRPr="00CF5AA5" w:rsidRDefault="00497F14" w:rsidP="00497F14"/>
    <w:sectPr w:rsidR="00497F14" w:rsidRPr="00CF5AA5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4B3"/>
    <w:multiLevelType w:val="hybridMultilevel"/>
    <w:tmpl w:val="CB0C1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82F"/>
    <w:multiLevelType w:val="hybridMultilevel"/>
    <w:tmpl w:val="E2D47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7BF8"/>
    <w:multiLevelType w:val="hybridMultilevel"/>
    <w:tmpl w:val="41E4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5BFE"/>
    <w:multiLevelType w:val="hybridMultilevel"/>
    <w:tmpl w:val="C26E7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478FF"/>
    <w:multiLevelType w:val="hybridMultilevel"/>
    <w:tmpl w:val="2AF2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0696"/>
    <w:multiLevelType w:val="hybridMultilevel"/>
    <w:tmpl w:val="B928E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0769D"/>
    <w:multiLevelType w:val="hybridMultilevel"/>
    <w:tmpl w:val="22B4D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03D0E"/>
    <w:multiLevelType w:val="multilevel"/>
    <w:tmpl w:val="FCB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6160F"/>
    <w:multiLevelType w:val="hybridMultilevel"/>
    <w:tmpl w:val="CF5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09817">
    <w:abstractNumId w:val="2"/>
  </w:num>
  <w:num w:numId="2" w16cid:durableId="1391153418">
    <w:abstractNumId w:val="4"/>
  </w:num>
  <w:num w:numId="3" w16cid:durableId="1637834911">
    <w:abstractNumId w:val="1"/>
  </w:num>
  <w:num w:numId="4" w16cid:durableId="1113673875">
    <w:abstractNumId w:val="5"/>
  </w:num>
  <w:num w:numId="5" w16cid:durableId="940259838">
    <w:abstractNumId w:val="8"/>
  </w:num>
  <w:num w:numId="6" w16cid:durableId="409350254">
    <w:abstractNumId w:val="3"/>
  </w:num>
  <w:num w:numId="7" w16cid:durableId="315886274">
    <w:abstractNumId w:val="6"/>
  </w:num>
  <w:num w:numId="8" w16cid:durableId="1338729190">
    <w:abstractNumId w:val="7"/>
  </w:num>
  <w:num w:numId="9" w16cid:durableId="186570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B"/>
    <w:rsid w:val="00015EF4"/>
    <w:rsid w:val="00341734"/>
    <w:rsid w:val="003C273E"/>
    <w:rsid w:val="00497F14"/>
    <w:rsid w:val="007271BF"/>
    <w:rsid w:val="00857175"/>
    <w:rsid w:val="00B15685"/>
    <w:rsid w:val="00B9547E"/>
    <w:rsid w:val="00CF5AA5"/>
    <w:rsid w:val="00EC6387"/>
    <w:rsid w:val="00F12B96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3013"/>
  <w15:chartTrackingRefBased/>
  <w15:docId w15:val="{76D99832-0CC8-4292-A532-D6162C5F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12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7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5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7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2B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F12B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571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156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7F14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styleId="Siln">
    <w:name w:val="Strong"/>
    <w:basedOn w:val="Standardnpsmoodstavce"/>
    <w:uiPriority w:val="22"/>
    <w:qFormat/>
    <w:rsid w:val="00497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2022-05-23T11:33:00Z</dcterms:created>
  <dcterms:modified xsi:type="dcterms:W3CDTF">2022-05-23T12:06:00Z</dcterms:modified>
</cp:coreProperties>
</file>