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am6wsrq6co5" w:id="0"/>
      <w:bookmarkEnd w:id="0"/>
      <w:r w:rsidDel="00000000" w:rsidR="00000000" w:rsidRPr="00000000">
        <w:rPr>
          <w:rtl w:val="0"/>
        </w:rPr>
        <w:t xml:space="preserve">Målsetninger</w:t>
      </w:r>
    </w:p>
    <w:p w:rsidR="00000000" w:rsidDel="00000000" w:rsidP="00000000" w:rsidRDefault="00000000" w:rsidRPr="00000000" w14:paraId="00000002">
      <w:pPr>
        <w:rPr/>
      </w:pPr>
      <w:r w:rsidDel="00000000" w:rsidR="00000000" w:rsidRPr="00000000">
        <w:rPr>
          <w:rtl w:val="0"/>
        </w:rPr>
        <w:t xml:space="preserve">Målsetningene er organisert i to nivåer. Regulatoriske og partnerrelaterte forhold behandles som betingelser markedsplanen må være forankret i, ikke som markedsmål i seg selv. De operative markedsmålene følger deretter og er formulert slik at de gir direkte retning til planens segmentering, posisjonering og kanalvalg.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vlyot6vps986" w:id="1"/>
      <w:bookmarkEnd w:id="1"/>
      <w:r w:rsidDel="00000000" w:rsidR="00000000" w:rsidRPr="00000000">
        <w:rPr>
          <w:rtl w:val="0"/>
        </w:rPr>
        <w:t xml:space="preserve">Forutsetninger</w:t>
      </w:r>
    </w:p>
    <w:p w:rsidR="00000000" w:rsidDel="00000000" w:rsidP="00000000" w:rsidRDefault="00000000" w:rsidRPr="00000000" w14:paraId="00000005">
      <w:pPr>
        <w:rPr/>
      </w:pPr>
      <w:r w:rsidDel="00000000" w:rsidR="00000000" w:rsidRPr="00000000">
        <w:rPr>
          <w:b w:val="1"/>
          <w:bCs w:val="1"/>
          <w:rtl w:val="0"/>
        </w:rPr>
        <w:t xml:space="preserve">BVLOS-godkjenning innen 18 måneder.</w:t>
      </w:r>
      <w:r w:rsidDel="00000000" w:rsidR="00000000" w:rsidRPr="00000000">
        <w:rPr>
          <w:rtl w:val="0"/>
        </w:rPr>
        <w:t xml:space="preserve"> Luftfartstilsynets tillatelse er en juridisk forutsetning for kommersiell drift (Luftfartstilsynet, 2023). Wing opererer allerede i Finland (Wing Aviation LLC, 2024); uten tidlig regulatorisk forankring faller førsteetableringsfortrinnet bort (Porter, 1980, p. 19). </w:t>
      </w:r>
    </w:p>
    <w:p w:rsidR="00000000" w:rsidDel="00000000" w:rsidP="00000000" w:rsidRDefault="00000000" w:rsidRPr="00000000" w14:paraId="00000006">
      <w:pPr>
        <w:rPr/>
      </w:pPr>
      <w:r w:rsidDel="00000000" w:rsidR="00000000" w:rsidRPr="00000000">
        <w:rPr>
          <w:b w:val="1"/>
          <w:bCs w:val="1"/>
          <w:rtl w:val="0"/>
        </w:rPr>
        <w:t xml:space="preserve">Minst to norske innholdspartnere ved lansering.</w:t>
      </w:r>
      <w:r w:rsidDel="00000000" w:rsidR="00000000" w:rsidRPr="00000000">
        <w:rPr>
          <w:rtl w:val="0"/>
        </w:rPr>
        <w:t xml:space="preserve"> Tjenestens verdiproposisjon er tom uten attraktive handelspartnere. NorgesGruppen og Oda har reell forhandlingsmakt i oppstartsfasen (Porter, 1980, p. 23) – det er Zipline som trenger dem – og partnervalget setter direkte rammer for hvilke målgrupper planen kan adressere.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7y18fqfn3c6x" w:id="2"/>
      <w:bookmarkEnd w:id="2"/>
      <w:r w:rsidDel="00000000" w:rsidR="00000000" w:rsidRPr="00000000">
        <w:rPr>
          <w:rtl w:val="0"/>
        </w:rPr>
        <w:t xml:space="preserve">Markedsføringsmål</w:t>
      </w:r>
    </w:p>
    <w:p w:rsidR="00000000" w:rsidDel="00000000" w:rsidP="00000000" w:rsidRDefault="00000000" w:rsidRPr="00000000" w14:paraId="00000009">
      <w:pPr>
        <w:rPr/>
      </w:pPr>
      <w:r w:rsidDel="00000000" w:rsidR="00000000" w:rsidRPr="00000000">
        <w:rPr>
          <w:b w:val="1"/>
          <w:bCs w:val="1"/>
          <w:rtl w:val="0"/>
        </w:rPr>
        <w:t xml:space="preserve">Etablere en «speed premium»-posisjon i primærsegmentet.</w:t>
      </w:r>
      <w:r w:rsidDel="00000000" w:rsidR="00000000" w:rsidRPr="00000000">
        <w:rPr>
          <w:rFonts w:ascii="Arial Unicode MS" w:cs="Arial Unicode MS" w:eastAsia="Arial Unicode MS" w:hAnsi="Arial Unicode MS"/>
          <w:rtl w:val="0"/>
        </w:rPr>
        <w:t xml:space="preserve"> Ziplines eneste forsvarbare differensiator er leveringstid: 15 mot 30 minutter. Målet er at ≥40 % av respondentene i primærundersøkelsen spontant knytter Zipline til rask levering etter eksponering for kommunikasjonskonseptet. Resultatet er styrende for budskap, kanalprioritet og kreativ retning.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Avgrense ett betalingsvillig forbrukersegment innen lansering.</w:t>
      </w:r>
      <w:r w:rsidDel="00000000" w:rsidR="00000000" w:rsidRPr="00000000">
        <w:rPr>
          <w:rtl w:val="0"/>
        </w:rPr>
        <w:t xml:space="preserve"> Null byttekostnad (Porter, 1980, p. 24) og høy CAC gjør segmentvalget kritisk. Primærundersøkelsen skal identifisere ett segment – eksempelvis urbane husholdnin</w:t>
      </w:r>
      <w:commentRangeStart w:id="0"/>
      <w:r w:rsidDel="00000000" w:rsidR="00000000" w:rsidRPr="00000000">
        <w:rPr>
          <w:rFonts w:ascii="Arial Unicode MS" w:cs="Arial Unicode MS" w:eastAsia="Arial Unicode MS" w:hAnsi="Arial Unicode MS"/>
          <w:rtl w:val="0"/>
        </w:rPr>
        <w:t xml:space="preserve">ger med barn eller profesjonelle i alderen 25–45 – der ≥50 % aksepterer en prisøkning på minst 20 % over Foodoras prisnivå. Dette legger grunnlaget for målgruppedefinisjon og prismodell.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300 unike B2C-kunder og 1 000 transaksjoner de første 90 dagene.</w:t>
      </w:r>
      <w:r w:rsidDel="00000000" w:rsidR="00000000" w:rsidRPr="00000000">
        <w:rPr>
          <w:rtl w:val="0"/>
        </w:rPr>
        <w:t xml:space="preserve"> Et tidlig volummål gir styringsparameter for kanaleffektivitet og genererer driftserfaring som er krevende å replisere for fremtidige konkurrenter (Porter, 1985, p. 14).</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commentRangeStart w:id="1"/>
      <w:r w:rsidDel="00000000" w:rsidR="00000000" w:rsidRPr="00000000">
        <w:rPr>
          <w:b w:val="1"/>
          <w:bCs w:val="1"/>
          <w:rtl w:val="0"/>
        </w:rPr>
        <w:t xml:space="preserve">To signerte B2B-pilotavtaler innen 24 måneder.</w:t>
      </w:r>
      <w:r w:rsidDel="00000000" w:rsidR="00000000" w:rsidRPr="00000000">
        <w:rPr>
          <w:rtl w:val="0"/>
        </w:rPr>
        <w:t xml:space="preserve"> Institusjonelle kunder som sykehus og kommunale etater har høyere byttekostnader og mer forutsigbar betalingsvilje enn forbrukersegmentet. Markedsplanen behandler B2B som et eget spor med dedikerte kanaler og budskap, adskilt fra B2C-innsatsen.</w:t>
      </w:r>
      <w:commentRangeEnd w:id="1"/>
      <w:r w:rsidDel="00000000" w:rsidR="00000000" w:rsidRPr="00000000">
        <w:commentReference w:id="1"/>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tian Steenfeldt-Foss" w:id="1" w:date="2026-04-16T18:44:25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 men er det relevant for vår del? Vi skal jo hovedsakelig fokusere på B2C basert på det vi har snakket om i analysen, og i segmentering?</w:t>
      </w:r>
    </w:p>
  </w:comment>
  <w:comment w:author="Sebastian Blæstad" w:id="0" w:date="2026-04-16T16:42:45Z">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 vi ikke at prisen skulle være mindre enn eller like Foodoras?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