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48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declare an EFFECTIVE DATE distinct from its approval and a REVIEW INTERVAL. On release, Filum sets the effective date and computes the next review due date. A periodic review is recorded with its CONCLUSION — remains applicable, or must be revised — and pushes the due date from the date of the review. Any delay against the previous due date is written to the audit trail BEFORE being replaced. A document declaring NO interval never acquires a due date and appears in no counter.</w:t>
            </w:r>
          </w:p>
        </w:tc>
        <w:tc>
          <w:tcPr>
            <w:tcW w:type="pct" w:w="28%"/>
            <w:tcMar>
              <w:top w:type="dxa" w:w="80"/>
              <w:left w:type="dxa" w:w="110"/>
              <w:bottom w:type="dxa" w:w="80"/>
              <w:right w:type="dxa" w:w="110"/>
            </w:tcMar>
          </w:tcPr>
          <w:p>
            <w:pPr>
              <w:spacing w:after="0"/>
            </w:pPr>
            <w:r>
              <w:rPr>
                <w:sz w:val="17"/>
                <w:szCs w:val="17"/>
              </w:rPr>
              <w:t xml:space="preserve">Without periodic review, an approved procedure stays indefinitely “current”: it looks perfectly compliant, and that is exactly what makes it invisible. This is a classic audit finding under ISO 13485 §4.2.4. The effective date answers the same need from the other end: approving and making applicable are two distinct acts — the time needed to train people — and conflating them makes the file state that the procedure applied before anyone knew of it. The symmetric risk is noise: showing a due date on a frozen test report would fill with false duties a screen whose value lies in carrying none. Hence an OPTIONAL interval, and a document without one staying entirely silent.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bl>
    <w:p>
      <w:pPr>
        <w:pStyle w:val="Heading2"/>
        <w:spacing w:after="140" w:before="320"/>
      </w:pPr>
      <w:r>
        <w:t xml:space="preserve">4. Software risk analysis</w:t>
      </w:r>
    </w:p>
    <w:p>
      <w:pPr>
        <w:spacing w:after="140"/>
      </w:pPr>
      <w:r>
        <w:rPr>
          <w:sz w:val="20"/>
          <w:szCs w:val="20"/>
        </w:rPr>
        <w:t xml:space="preserve">Breakdown: 29 requirements at high risk, 17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23 August 2026 at 09:26</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45 of 45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(0f9e09e65062… ≠ cbdafa8d2330…),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cmt5lriy…, attested fingerprint 3767 CD80 ACC9, manifestation “Testeur QA1 (QA1) · Approuvé · 23/08/2026 09:26:24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173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cce526c5284e0805…;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2036-08-23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238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238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196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(124016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23/08/2026 09:26:37 UTC · enregistrement 090A 81AF EC55”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180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178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173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Periodic review: due date computed, conclusion recorded, delay written before being erased</w:t>
            </w:r>
          </w:p>
          <w:p>
            <w:pPr>
              <w:spacing w:after="0"/>
            </w:pPr>
            <w:r>
              <w:rPr>
                <w:color w:val="475569"/>
                <w:sz w:val="15"/>
                <w:szCs w:val="15"/>
              </w:rPr>
              <w:t xml:space="preserve">Exercise the due-date computation where it most readily goes wrong — month ends —, verify that a review records WHO concluded WHAT, that the delay against the previous due date enters the trail BEFORE being replaced, and above all that a document declaring no interval stays entirely silent.</w:t>
            </w:r>
          </w:p>
        </w:tc>
        <w:tc>
          <w:tcPr>
            <w:tcW w:type="pct" w:w="45%"/>
            <w:tcMar>
              <w:top w:type="dxa" w:w="80"/>
              <w:left w:type="dxa" w:w="110"/>
              <w:bottom w:type="dxa" w:w="80"/>
              <w:right w:type="dxa" w:w="110"/>
            </w:tcMar>
          </w:tcPr>
          <w:p>
            <w:pPr>
              <w:spacing w:after="0"/>
            </w:pPr>
            <w:r>
              <w:rPr>
                <w:sz w:val="17"/>
                <w:szCs w:val="17"/>
              </w:rPr>
              <w:t xml:space="preserve">The due-date computation is exercised over 6 cases including four month ends: 31 January + 1 month yields 28 February, and 29 in a leap year — a calendar overflow would have slipped the due date by two or three days with nothing to signal it. A released procedure receives its effective date and its due date; a test report released under the same conditions receives NEITHER. A review held 92 days after the due date records its conclusion, its author, and writes THE DELAY to the trail before the due date is replaced. The stored due date of every document with an interval is RECOMPUTED from its source and compared. Refused: reviewing a draft, reviewing a document without an interval, and a conclusion outside the two admitted. Bounds reject 0, 121 and a non-integer value.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217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48 requirements, 44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23 August 2026 at 09:26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2026-08-23T09:28:25.562Z</dcterms:created>
  <dcterms:modified xsi:type="dcterms:W3CDTF">2026-08-23T09:28:25.562Z</dcterms:modified>
</cp:coreProperties>
</file>

<file path=docProps/custom.xml><?xml version="1.0" encoding="utf-8"?>
<Properties xmlns="http://schemas.openxmlformats.org/officeDocument/2006/custom-properties" xmlns:vt="http://schemas.openxmlformats.org/officeDocument/2006/docPropsVTypes"/>
</file>