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1.2.0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31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Analyse de risque logiciel</w:t>
      </w:r>
    </w:p>
    <w:p>
      <w:pPr>
        <w:spacing w:after="140"/>
      </w:pPr>
      <w:r>
        <w:rPr>
          <w:sz w:val="20"/>
          <w:szCs w:val="20"/>
        </w:rPr>
        <w:t xml:space="preserve">Répartition : 21 exigences à risque haut, 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5 août 2026 à 09:21</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28 cas sur 28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(34637ecf3dca… ≠ 6e8605f3a005…),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10486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cmsfvncw…, empreinte attestée 3767 CD80 ACC9, manifestation « Testeur QA1 (QA1) · Approuvé · 05/08/2026 09:21:06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136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fcee04af2ca384b8…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2036-08-05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176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176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31 exigences, 27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rapport OQ exécuté le 5 août 2026 à 09:21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2026-08-05T09:28:29.368Z</dcterms:created>
  <dcterms:modified xsi:type="dcterms:W3CDTF">2026-08-05T09:28:29.368Z</dcterms:modified>
</cp:coreProperties>
</file>

<file path=docProps/custom.xml><?xml version="1.0" encoding="utf-8"?>
<Properties xmlns="http://schemas.openxmlformats.org/officeDocument/2006/custom-properties" xmlns:vt="http://schemas.openxmlformats.org/officeDocument/2006/docPropsVTypes"/>
</file>