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And the trail is REVIEWED: each review covers a range of RANKS, never dates, and starts exactly at the rank following the previous one — so no entry can be written into the gap between two reviews, and any coverage gap is computed. Risk-based triage rules designate what must be read one by one; the rest is counted, and the record says so. Every selected entry receives a reasoned verdict, closing is a signature bound to the digest of the reviewed content, and the distance between the last covered rank and the trail head is shown permanently. The review writes itself into the trail, hence into the next review's window: the reviewer's work is reviewed.</w:t>
            </w:r>
          </w:p>
        </w:tc>
        <w:tc>
          <w:tcPr>
            <w:tcW w:type="pct" w:w="25%"/>
            <w:tcMar>
              <w:top w:type="dxa" w:w="80"/>
              <w:left w:type="dxa" w:w="110"/>
              <w:bottom w:type="dxa" w:w="80"/>
              <w:right w:type="dxa" w:w="110"/>
            </w:tcMar>
          </w:tcPr>
          <w:p>
            <w:pPr>
              <w:spacing w:after="0"/>
            </w:pPr>
            <w:r>
              <w:rPr>
                <w:sz w:val="17"/>
                <w:szCs w:val="17"/>
              </w:rPr>
              <w:t xml:space="preserve">The review FREQUENCY — Filum imposes none: the right period depends on your activity volume and the criticality of the system, and it cannot decide for you. And the JUDGEMENT passed: telling a legitimate change from a suspicious one requires knowing the project, the context and the people. Filum presents, measures and records; it does not conclude. You also decide whether the reviewer's independence suffices: it is measured on every review and written into the record, never enforced — requiring it would make review impossible in a team of three.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2026-08-09T11:12:48.294Z</dcterms:created>
  <dcterms:modified xsi:type="dcterms:W3CDTF">2026-08-09T11:12:48.295Z</dcterms:modified>
</cp:coreProperties>
</file>

<file path=docProps/custom.xml><?xml version="1.0" encoding="utf-8"?>
<Properties xmlns="http://schemas.openxmlformats.org/officeDocument/2006/custom-properties" xmlns:vt="http://schemas.openxmlformats.org/officeDocument/2006/docPropsVTypes"/>
</file>