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bl>
    <w:p>
      <w:pPr>
        <w:pStyle w:val="Heading2"/>
        <w:spacing w:after="140" w:before="320"/>
      </w:pPr>
      <w:r>
        <w:t xml:space="preserve">4. Analyse de risque logiciel</w:t>
      </w:r>
    </w:p>
    <w:p>
      <w:pPr>
        <w:spacing w:after="140"/>
      </w:pPr>
      <w:r>
        <w:rPr>
          <w:sz w:val="20"/>
          <w:szCs w:val="20"/>
        </w:rPr>
        <w:t xml:space="preserve">Répartition : 24 exigences à risque haut, 11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19:52</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34 cas sur 34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(770008180c66… ≠ d0bfb8df4d32…),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cmshxn9r…, empreinte attestée 3767 CD80 ACC9, manifestation « Testeur QA1 (QA1) · Approuvé · 06/08/2026 19:52:33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(10497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150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e1713d0c523fe513…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34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204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50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204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9010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187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(69081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06/08/2026 19:52:45 UTC · enregistrement B6FE 0DDE 145A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37 exigences, 33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19:52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2026-08-07T07:45:50.984Z</dcterms:created>
  <dcterms:modified xsi:type="dcterms:W3CDTF">2026-08-07T07:45:50.985Z</dcterms:modified>
</cp:coreProperties>
</file>

<file path=docProps/custom.xml><?xml version="1.0" encoding="utf-8"?>
<Properties xmlns="http://schemas.openxmlformats.org/officeDocument/2006/custom-properties" xmlns:vt="http://schemas.openxmlformats.org/officeDocument/2006/docPropsVTypes"/>
</file>