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49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URS-48</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declarer une DATE D ENTREE EN VIGUEUR distincte de son approbation et une PERIODICITE DE REVUE. A la publication, Filum pose l entree en vigueur et calcule l echeance de la prochaine revue. Une revue periodique se consigne avec sa CONCLUSION — reste applicable, ou doit etre revise — et repousse l echeance depuis la date de la revue. Le retard sur l echeance precedente est inscrit dans la piste d audit AVANT d etre remplace. Un document qui ne declare AUCUNE periodicite n acquiert jamais d echeance et n apparait dans aucun compteur.</w:t>
            </w:r>
          </w:p>
        </w:tc>
        <w:tc>
          <w:tcPr>
            <w:tcW w:type="pct" w:w="28%"/>
            <w:tcMar>
              <w:top w:type="dxa" w:w="80"/>
              <w:left w:type="dxa" w:w="110"/>
              <w:bottom w:type="dxa" w:w="80"/>
              <w:right w:type="dxa" w:w="110"/>
            </w:tcMar>
          </w:tcPr>
          <w:p>
            <w:pPr>
              <w:spacing w:after="0"/>
            </w:pPr>
            <w:r>
              <w:rPr>
                <w:sz w:val="17"/>
                <w:szCs w:val="17"/>
              </w:rPr>
              <w:t xml:space="preserve">Sans revue periodique, une procedure approuvee reste indefiniment « a jour » : elle a l air parfaitement en regle, et c est precisement ce qui la rend invisible. C est un constat d audit classique sous ISO 13485 §4.2.4. La date d entree en vigueur repond au meme besoin par l autre bout : approuver et rendre applicable sont deux actes distincts — le temps de former les gens — et les confondre fait dire au dossier que la procedure s appliquait avant que quiconque en ait eu connaissance. Le risque symetrique est le bruit : faire apparaitre une echeance sur un rapport d essai fige remplirait de faux devoirs un ecran dont la valeur tient a ce qu il n en porte pas. D ou une periodicite FACULTATIVE, et un document sans periodicite qui reste totalement muet.</w:t>
            </w:r>
          </w:p>
        </w:tc>
        <w:tc>
          <w:tcPr>
            <w:tcW w:type="pct" w:w="20%"/>
            <w:tcMar>
              <w:top w:type="dxa" w:w="80"/>
              <w:left w:type="dxa" w:w="110"/>
              <w:bottom w:type="dxa" w:w="80"/>
              <w:right w:type="dxa" w:w="110"/>
            </w:tcMar>
          </w:tcPr>
          <w:p>
            <w:pPr>
              <w:spacing w:after="0"/>
            </w:pPr>
            <w:r>
              <w:rPr>
                <w:sz w:val="17"/>
                <w:szCs w:val="17"/>
              </w:rPr>
              <w:t xml:space="preserve">ISO 13485 §4.2.4 · 21 CFR 11.10(a) · 21 CFR 11.10(e) · Annexe 11 §4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 document peut porter une LISTE DE DIFFUSION nommant les personnes qui doivent l avoir lu. Chaque destinataire ACCUSE RECEPTION lui-meme, et pour lui seul : aucun chemin ne permet d accuser a la place d un autre. Un accuse vaut pour UNE REVISION — ouvrir une revision marque les lignes depassees, en cree de neuves pour les memes destinataires, et remet donc tout le monde en attente sans effacer ce qui avait ete lu de la revision precedente. L etat de diffusion compte a part les destinataires desactives : ni acquittes, ni exigibles. Filum n envoie rien.</w:t>
            </w:r>
          </w:p>
        </w:tc>
        <w:tc>
          <w:tcPr>
            <w:tcW w:type="pct" w:w="28%"/>
            <w:tcMar>
              <w:top w:type="dxa" w:w="80"/>
              <w:left w:type="dxa" w:w="110"/>
              <w:bottom w:type="dxa" w:w="80"/>
              <w:right w:type="dxa" w:w="110"/>
            </w:tcMar>
          </w:tcPr>
          <w:p>
            <w:pPr>
              <w:spacing w:after="0"/>
            </w:pPr>
            <w:r>
              <w:rPr>
                <w:sz w:val="17"/>
                <w:szCs w:val="17"/>
              </w:rPr>
              <w:t xml:space="preserve">L ISO 13485 §4.2.4 exige que la version en vigueur soit disponible aux points d usage et que les versions perimees ne soient pas employees par inadvertance. Une procedure publiee dont personne ne sait si elle a atteint quiconque ne repond a aucune des deux exigences, et le defaut est invisible : le document a l air parfaitement en regle. Le risque symetrique est l accuse de complaisance — si un tiers peut accuser a la place d un operateur, l enregistrement porte un nom sans que l interesse ait rien lu, ce qui est pire qu une absence d accuse : il est trompeur. D ou la regle « on n accuse que pour soi », la meme qui gouverne la signature. Enfin, un accuse qui survivrait a une revision ferait passer pour lue une version que personne n a ouverte, ce qui retournerait la fonction contre son objet.</w:t>
            </w:r>
          </w:p>
        </w:tc>
        <w:tc>
          <w:tcPr>
            <w:tcW w:type="pct" w:w="20%"/>
            <w:tcMar>
              <w:top w:type="dxa" w:w="80"/>
              <w:left w:type="dxa" w:w="110"/>
              <w:bottom w:type="dxa" w:w="80"/>
              <w:right w:type="dxa" w:w="110"/>
            </w:tcMar>
          </w:tcPr>
          <w:p>
            <w:pPr>
              <w:spacing w:after="0"/>
            </w:pPr>
            <w:r>
              <w:rPr>
                <w:sz w:val="17"/>
                <w:szCs w:val="17"/>
              </w:rPr>
              <w:t xml:space="preserve">ISO 13485 §4.2.4 · 21 CFR 11.10(d) · 21 CFR 11.200(a)(3) · ALCOA+ — attribuable</w:t>
            </w:r>
          </w:p>
        </w:tc>
      </w:tr>
    </w:tbl>
    <w:p>
      <w:pPr>
        <w:pStyle w:val="Heading2"/>
        <w:spacing w:after="140" w:before="320"/>
      </w:pPr>
      <w:r>
        <w:t xml:space="preserve">4. Analyse de risque logiciel</w:t>
      </w:r>
    </w:p>
    <w:p>
      <w:pPr>
        <w:spacing w:after="140"/>
      </w:pPr>
      <w:r>
        <w:rPr>
          <w:sz w:val="20"/>
          <w:szCs w:val="20"/>
        </w:rPr>
        <w:t xml:space="preserve">Répartition : 29 exigences à risque haut, 18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23 août 2026 à 10:36</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46 cas sur 46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(173d0cd81e15… ≠ 0711dbc59e68…),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10484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cmt5o8pn…, empreinte attestée 3767 CD80 ACC9, manifestation « Testeur QA1 (QA1) · Approuvé · 23/08/2026 10:35:46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10487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174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1af08e160b956b88…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2036-08-23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36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240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240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9704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199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(124025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23/08/2026 10:35:57 UTC · enregistrement 678A DAA5 B36B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181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179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174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35 point(s) dépendant du moteur relevés sur la source et tous déclarés — 4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3859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OQ-45</w:t>
            </w:r>
          </w:p>
          <w:p>
            <w:pPr>
              <w:spacing w:after="0"/>
            </w:pPr>
            <w:r>
              <w:rPr>
                <w:color w:val="475569"/>
                <w:sz w:val="15"/>
                <w:szCs w:val="15"/>
              </w:rPr>
              <w:t xml:space="preserve">URS-48</w:t>
            </w:r>
          </w:p>
        </w:tc>
        <w:tc>
          <w:tcPr>
            <w:tcW w:type="pct" w:w="30%"/>
            <w:tcMar>
              <w:top w:type="dxa" w:w="80"/>
              <w:left w:type="dxa" w:w="110"/>
              <w:bottom w:type="dxa" w:w="80"/>
              <w:right w:type="dxa" w:w="110"/>
            </w:tcMar>
          </w:tcPr>
          <w:p>
            <w:pPr>
              <w:spacing w:after="50"/>
            </w:pPr>
            <w:r>
              <w:rPr>
                <w:b/>
                <w:bCs/>
                <w:sz w:val="17"/>
                <w:szCs w:val="17"/>
              </w:rPr>
              <w:t xml:space="preserve">Revue périodique : échéance calculée, conclusion consignée, retard inscrit avant d'être effacé</w:t>
            </w:r>
          </w:p>
          <w:p>
            <w:pPr>
              <w:spacing w:after="0"/>
            </w:pPr>
            <w:r>
              <w:rPr>
                <w:color w:val="475569"/>
                <w:sz w:val="15"/>
                <w:szCs w:val="15"/>
              </w:rPr>
              <w:t xml:space="preserve">Éprouver le calcul d'échéance là où il se trompe le plus volontiers — les fins de mois —, vérifier qu'une revue consigne QUI a conclu QUOI, que le retard sur l'échéance précédente entre dans la piste AVANT d'être remplacé, et surtout qu'un document sans périodicité déclarée reste totalement muet.</w:t>
            </w:r>
          </w:p>
        </w:tc>
        <w:tc>
          <w:tcPr>
            <w:tcW w:type="pct" w:w="45%"/>
            <w:tcMar>
              <w:top w:type="dxa" w:w="80"/>
              <w:left w:type="dxa" w:w="110"/>
              <w:bottom w:type="dxa" w:w="80"/>
              <w:right w:type="dxa" w:w="110"/>
            </w:tcMar>
          </w:tcPr>
          <w:p>
            <w:pPr>
              <w:spacing w:after="0"/>
            </w:pPr>
            <w:r>
              <w:rPr>
                <w:sz w:val="17"/>
                <w:szCs w:val="17"/>
              </w:rPr>
              <w:t xml:space="preserve">Le calcul d'échéance est éprouvé sur 6 cas dont quatre fins de mois : le 31 janvier + 1 mois rend le 28 février, et le 29 en année bissextile — un débordement de calendrier aurait glissé l'échéance de deux ou trois jours sans que rien ne le signale. Une procédure publiée reçoit son entrée en vigueur et son échéance ; un rapport d'essai publié dans les mêmes conditions n'en reçoit AUCUNE. Une revue tenue 92 jours après l'échéance consigne sa conclusion, son auteur, et inscrit LE RETARD dans la piste avant que l'échéance ne soit remplacée. L'échéance stockée de chaque document à périodicité est RECALCULÉE depuis sa source et confrontée. Sont refusées : la revue d'un brouillon, celle d'un document sans périodicité, et une conclusion hors des deux admises. Les bornes rejettent 0, 121 et une valeur non entière.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OQ-46</w:t>
            </w:r>
          </w:p>
          <w:p>
            <w:pPr>
              <w:spacing w:after="0"/>
            </w:pPr>
            <w:r>
              <w:rPr>
                <w:color w:val="475569"/>
                <w:sz w:val="15"/>
                <w:szCs w:val="15"/>
              </w:rPr>
              <w:t xml:space="preserve">URS-49</w:t>
            </w:r>
          </w:p>
        </w:tc>
        <w:tc>
          <w:tcPr>
            <w:tcW w:type="pct" w:w="30%"/>
            <w:tcMar>
              <w:top w:type="dxa" w:w="80"/>
              <w:left w:type="dxa" w:w="110"/>
              <w:bottom w:type="dxa" w:w="80"/>
              <w:right w:type="dxa" w:w="110"/>
            </w:tcMar>
          </w:tcPr>
          <w:p>
            <w:pPr>
              <w:spacing w:after="50"/>
            </w:pPr>
            <w:r>
              <w:rPr>
                <w:b/>
                <w:bCs/>
                <w:sz w:val="17"/>
                <w:szCs w:val="17"/>
              </w:rPr>
              <w:t xml:space="preserve">Diffusion contrôlée : on n'accuse que pour soi, et une lecture ne survit pas à une révision</w:t>
            </w:r>
          </w:p>
          <w:p>
            <w:pPr>
              <w:spacing w:after="0"/>
            </w:pPr>
            <w:r>
              <w:rPr>
                <w:color w:val="475569"/>
                <w:sz w:val="15"/>
                <w:szCs w:val="15"/>
              </w:rPr>
              <w:t xml:space="preserve">Éprouver les deux règles dont tout dépend — nul n'accuse à la place d'un autre, et publier une révision remet chacun en attente sans effacer ce qui avait été lu de la précédente — puis vérifier que l'état de diffusion ne se laisse pas bloquer par une personne désactivée.</w:t>
            </w:r>
          </w:p>
        </w:tc>
        <w:tc>
          <w:tcPr>
            <w:tcW w:type="pct" w:w="45%"/>
            <w:tcMar>
              <w:top w:type="dxa" w:w="80"/>
              <w:left w:type="dxa" w:w="110"/>
              <w:bottom w:type="dxa" w:w="80"/>
              <w:right w:type="dxa" w:w="110"/>
            </w:tcMar>
          </w:tcPr>
          <w:p>
            <w:pPr>
              <w:spacing w:after="0"/>
            </w:pPr>
            <w:r>
              <w:rPr>
                <w:sz w:val="17"/>
                <w:szCs w:val="17"/>
              </w:rPr>
              <w:t xml:space="preserve">Trois destinataires posés sur une procédure. Un accusé de lecture est REFUSÉ sur un brouillon — attester d'un texte qui peut encore changer ne prouve rien sur ce qui sera appliqué. Après publication, la fonction n'accepte un accusé que pour la personne qu'on lui nomme, et la SOURCE de l'action serveur est relue pour établir qu'elle n'accepte aucun identifiant venu d'un formulaire : seule l'identité de la session agit. Un second accusé pour la même personne et la même révision est refusé. Un destinataire désactivé est compté à part — la révision peut être déclarée lue sans lui, sans qu'il soit pour autant réputé l'avoir lue. Enfin, ouvrir une révision dépasse les trois lignes en CONSERVANT leurs accusés, en crée trois neuves pour les mêmes destinataires, toutes en attente : une version que personne n'a ouverte ne peut pas passer pour lue. La piste nomme qui a lu quoi, dans les deux langues.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225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URS-48</w:t>
            </w:r>
          </w:p>
        </w:tc>
        <w:tc>
          <w:tcPr>
            <w:tcW w:type="pct" w:w="22%"/>
            <w:tcMar>
              <w:top w:type="dxa" w:w="80"/>
              <w:left w:type="dxa" w:w="110"/>
              <w:bottom w:type="dxa" w:w="80"/>
              <w:right w:type="dxa" w:w="110"/>
            </w:tcMar>
          </w:tcPr>
          <w:p>
            <w:pPr>
              <w:spacing w:after="0"/>
            </w:pPr>
            <w:r>
              <w:rPr>
                <w:b/>
                <w:bCs/>
                <w:color w:val="047857"/>
                <w:sz w:val="17"/>
                <w:szCs w:val="17"/>
              </w:rPr>
              <w:t xml:space="preserve">OQ-45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URS-49</w:t>
            </w:r>
          </w:p>
        </w:tc>
        <w:tc>
          <w:tcPr>
            <w:tcW w:type="pct" w:w="22%"/>
            <w:tcMar>
              <w:top w:type="dxa" w:w="80"/>
              <w:left w:type="dxa" w:w="110"/>
              <w:bottom w:type="dxa" w:w="80"/>
              <w:right w:type="dxa" w:w="110"/>
            </w:tcMar>
          </w:tcPr>
          <w:p>
            <w:pPr>
              <w:spacing w:after="0"/>
            </w:pPr>
            <w:r>
              <w:rPr>
                <w:b/>
                <w:bCs/>
                <w:color w:val="047857"/>
                <w:sz w:val="17"/>
                <w:szCs w:val="17"/>
              </w:rPr>
              <w:t xml:space="preserve">OQ-46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49 exigences, 45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23 août 2026 à 10:36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2026-08-23T10:37:02.935Z</dcterms:created>
  <dcterms:modified xsi:type="dcterms:W3CDTF">2026-08-23T10:37:02.935Z</dcterms:modified>
</cp:coreProperties>
</file>

<file path=docProps/custom.xml><?xml version="1.0" encoding="utf-8"?>
<Properties xmlns="http://schemas.openxmlformats.org/officeDocument/2006/custom-properties" xmlns:vt="http://schemas.openxmlformats.org/officeDocument/2006/docPropsVTypes"/>
</file>