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49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from 6 to 9 August 2026,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URS-48</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 document may declare an EFFECTIVE DATE distinct from its approval and a REVIEW INTERVAL. On release, Filum sets the effective date and computes the next review due date. A periodic review is recorded with its CONCLUSION — remains applicable, or must be revised — and pushes the due date from the date of the review. Any delay against the previous due date is written to the audit trail BEFORE being replaced. A document declaring NO interval never acquires a due date and appears in no counter.</w:t>
            </w:r>
          </w:p>
        </w:tc>
        <w:tc>
          <w:tcPr>
            <w:tcW w:type="pct" w:w="28%"/>
            <w:tcMar>
              <w:top w:type="dxa" w:w="80"/>
              <w:left w:type="dxa" w:w="110"/>
              <w:bottom w:type="dxa" w:w="80"/>
              <w:right w:type="dxa" w:w="110"/>
            </w:tcMar>
          </w:tcPr>
          <w:p>
            <w:pPr>
              <w:spacing w:after="0"/>
            </w:pPr>
            <w:r>
              <w:rPr>
                <w:sz w:val="17"/>
                <w:szCs w:val="17"/>
              </w:rPr>
              <w:t xml:space="preserve">Without periodic review, an approved procedure stays indefinitely “current”: it looks perfectly compliant, and that is exactly what makes it invisible. This is a classic audit finding under ISO 13485 §4.2.4. The effective date answers the same need from the other end: approving and making applicable are two distinct acts — the time needed to train people — and conflating them makes the file state that the procedure applied before anyone knew of it. The symmetric risk is noise: showing a due date on a frozen test report would fill with false duties a screen whose value lies in carrying none. Hence an OPTIONAL interval, and a document without one staying entirely silent.</w:t>
            </w:r>
          </w:p>
        </w:tc>
        <w:tc>
          <w:tcPr>
            <w:tcW w:type="pct" w:w="20%"/>
            <w:tcMar>
              <w:top w:type="dxa" w:w="80"/>
              <w:left w:type="dxa" w:w="110"/>
              <w:bottom w:type="dxa" w:w="80"/>
              <w:right w:type="dxa" w:w="110"/>
            </w:tcMar>
          </w:tcPr>
          <w:p>
            <w:pPr>
              <w:spacing w:after="0"/>
            </w:pPr>
            <w:r>
              <w:rPr>
                <w:sz w:val="17"/>
                <w:szCs w:val="17"/>
              </w:rPr>
              <w:t xml:space="preserve">ISO 13485 §4.2.4 · 21 CFR 11.10(a) · 21 CFR 11.10(e) · Annexe 11 §4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 document may carry a DISTRIBUTION LIST naming the people who must have read it. Each recipient ACKNOWLEDGES themselves, and only for themselves: no path allows acknowledging on behalf of another. An acknowledgement covers ONE REVISION — opening a revision marks the rows superseded, creates fresh ones for the same recipients, and therefore puts everyone back to pending without erasing what had been read of the previous revision. The distribution state counts deactivated recipients separately: neither cleared nor required. Filum sends nothing.</w:t>
            </w:r>
          </w:p>
        </w:tc>
        <w:tc>
          <w:tcPr>
            <w:tcW w:type="pct" w:w="28%"/>
            <w:tcMar>
              <w:top w:type="dxa" w:w="80"/>
              <w:left w:type="dxa" w:w="110"/>
              <w:bottom w:type="dxa" w:w="80"/>
              <w:right w:type="dxa" w:w="110"/>
            </w:tcMar>
          </w:tcPr>
          <w:p>
            <w:pPr>
              <w:spacing w:after="0"/>
            </w:pPr>
            <w:r>
              <w:rPr>
                <w:sz w:val="17"/>
                <w:szCs w:val="17"/>
              </w:rPr>
              <w:t xml:space="preserve">ISO 13485 §4.2.4 requires the current version to be available at points of use and obsolete versions not to be used unintentionally. A released procedure of which nobody knows whether it reached anyone meets neither requirement, and the defect is invisible: the document looks perfectly compliant. The symmetric risk is the courtesy acknowledgement — if a third party can acknowledge on behalf of an operator, the record carries a name without the person having read anything, which is worse than no acknowledgement at all: it is misleading. Hence the rule “you acknowledge only for yourself”, the same one that governs signature. Finally, an acknowledgement surviving a revision would make a version nobody opened appear read, turning the function against its own purpose.</w:t>
            </w:r>
          </w:p>
        </w:tc>
        <w:tc>
          <w:tcPr>
            <w:tcW w:type="pct" w:w="20%"/>
            <w:tcMar>
              <w:top w:type="dxa" w:w="80"/>
              <w:left w:type="dxa" w:w="110"/>
              <w:bottom w:type="dxa" w:w="80"/>
              <w:right w:type="dxa" w:w="110"/>
            </w:tcMar>
          </w:tcPr>
          <w:p>
            <w:pPr>
              <w:spacing w:after="0"/>
            </w:pPr>
            <w:r>
              <w:rPr>
                <w:sz w:val="17"/>
                <w:szCs w:val="17"/>
              </w:rPr>
              <w:t xml:space="preserve">ISO 13485 §4.2.4 · 21 CFR 11.10(d) · 21 CFR 11.200(a)(3) · ALCOA+ — attribuable</w:t>
            </w:r>
          </w:p>
        </w:tc>
      </w:tr>
    </w:tbl>
    <w:p>
      <w:pPr>
        <w:pStyle w:val="Heading2"/>
        <w:spacing w:after="140" w:before="320"/>
      </w:pPr>
      <w:r>
        <w:t xml:space="preserve">4. Software risk analysis</w:t>
      </w:r>
    </w:p>
    <w:p>
      <w:pPr>
        <w:spacing w:after="140"/>
      </w:pPr>
      <w:r>
        <w:rPr>
          <w:sz w:val="20"/>
          <w:szCs w:val="20"/>
        </w:rPr>
        <w:t xml:space="preserve">Breakdown: 29 requirements at high risk, 18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23 August 2026 at 10:36</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46 of 46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(173d0cd81e15… ≠ 0711dbc59e68…),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10484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cmt5o8pn…, attested fingerprint 3767 CD80 ACC9, manifestation “Testeur QA1 (QA1) · Approuvé · 23/08/2026 10:35:46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174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308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1af08e160b956b88…;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2036-08-23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408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89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36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240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240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9704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199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(124025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23/08/2026 10:35:57 UTC · enregistrement 678A DAA5 B36B”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181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179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174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35 engine-dependent point(s) found on the source and all declared — 4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2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3859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OQ-45</w:t>
            </w:r>
          </w:p>
          <w:p>
            <w:pPr>
              <w:spacing w:after="0"/>
            </w:pPr>
            <w:r>
              <w:rPr>
                <w:color w:val="475569"/>
                <w:sz w:val="15"/>
                <w:szCs w:val="15"/>
              </w:rPr>
              <w:t xml:space="preserve">URS-48</w:t>
            </w:r>
          </w:p>
        </w:tc>
        <w:tc>
          <w:tcPr>
            <w:tcW w:type="pct" w:w="30%"/>
            <w:tcMar>
              <w:top w:type="dxa" w:w="80"/>
              <w:left w:type="dxa" w:w="110"/>
              <w:bottom w:type="dxa" w:w="80"/>
              <w:right w:type="dxa" w:w="110"/>
            </w:tcMar>
          </w:tcPr>
          <w:p>
            <w:pPr>
              <w:spacing w:after="50"/>
            </w:pPr>
            <w:r>
              <w:rPr>
                <w:b/>
                <w:bCs/>
                <w:sz w:val="17"/>
                <w:szCs w:val="17"/>
              </w:rPr>
              <w:t xml:space="preserve">Periodic review: due date computed, conclusion recorded, delay written before being erased</w:t>
            </w:r>
          </w:p>
          <w:p>
            <w:pPr>
              <w:spacing w:after="0"/>
            </w:pPr>
            <w:r>
              <w:rPr>
                <w:color w:val="475569"/>
                <w:sz w:val="15"/>
                <w:szCs w:val="15"/>
              </w:rPr>
              <w:t xml:space="preserve">Exercise the due-date computation where it most readily goes wrong — month ends —, verify that a review records WHO concluded WHAT, that the delay against the previous due date enters the trail BEFORE being replaced, and above all that a document declaring no interval stays entirely silent.</w:t>
            </w:r>
          </w:p>
        </w:tc>
        <w:tc>
          <w:tcPr>
            <w:tcW w:type="pct" w:w="45%"/>
            <w:tcMar>
              <w:top w:type="dxa" w:w="80"/>
              <w:left w:type="dxa" w:w="110"/>
              <w:bottom w:type="dxa" w:w="80"/>
              <w:right w:type="dxa" w:w="110"/>
            </w:tcMar>
          </w:tcPr>
          <w:p>
            <w:pPr>
              <w:spacing w:after="0"/>
            </w:pPr>
            <w:r>
              <w:rPr>
                <w:sz w:val="17"/>
                <w:szCs w:val="17"/>
              </w:rPr>
              <w:t xml:space="preserve">The due-date computation is exercised over 6 cases including four month ends: 31 January + 1 month yields 28 February, and 29 in a leap year — a calendar overflow would have slipped the due date by two or three days with nothing to signal it. A released procedure receives its effective date and its due date; a test report released under the same conditions receives NEITHER. A review held 92 days after the due date records its conclusion, its author, and writes THE DELAY to the trail before the due date is replaced. The stored due date of every document with an interval is RECOMPUTED from its source and compared. Refused: reviewing a draft, reviewing a document without an interval, and a conclusion outside the two admitted. Bounds reject 0, 121 and a non-integer value.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OQ-46</w:t>
            </w:r>
          </w:p>
          <w:p>
            <w:pPr>
              <w:spacing w:after="0"/>
            </w:pPr>
            <w:r>
              <w:rPr>
                <w:color w:val="475569"/>
                <w:sz w:val="15"/>
                <w:szCs w:val="15"/>
              </w:rPr>
              <w:t xml:space="preserve">URS-49</w:t>
            </w:r>
          </w:p>
        </w:tc>
        <w:tc>
          <w:tcPr>
            <w:tcW w:type="pct" w:w="30%"/>
            <w:tcMar>
              <w:top w:type="dxa" w:w="80"/>
              <w:left w:type="dxa" w:w="110"/>
              <w:bottom w:type="dxa" w:w="80"/>
              <w:right w:type="dxa" w:w="110"/>
            </w:tcMar>
          </w:tcPr>
          <w:p>
            <w:pPr>
              <w:spacing w:after="50"/>
            </w:pPr>
            <w:r>
              <w:rPr>
                <w:b/>
                <w:bCs/>
                <w:sz w:val="17"/>
                <w:szCs w:val="17"/>
              </w:rPr>
              <w:t xml:space="preserve">Controlled distribution: you acknowledge only for yourself, and a reading does not survive a revision</w:t>
            </w:r>
          </w:p>
          <w:p>
            <w:pPr>
              <w:spacing w:after="0"/>
            </w:pPr>
            <w:r>
              <w:rPr>
                <w:color w:val="475569"/>
                <w:sz w:val="15"/>
                <w:szCs w:val="15"/>
              </w:rPr>
              <w:t xml:space="preserve">Exercise the two rules everything rests on — nobody acknowledges on behalf of another, and releasing a revision puts everyone back to pending without erasing what had been read of the previous one — then verify that the distribution state is not held hostage by a deactivated person.</w:t>
            </w:r>
          </w:p>
        </w:tc>
        <w:tc>
          <w:tcPr>
            <w:tcW w:type="pct" w:w="45%"/>
            <w:tcMar>
              <w:top w:type="dxa" w:w="80"/>
              <w:left w:type="dxa" w:w="110"/>
              <w:bottom w:type="dxa" w:w="80"/>
              <w:right w:type="dxa" w:w="110"/>
            </w:tcMar>
          </w:tcPr>
          <w:p>
            <w:pPr>
              <w:spacing w:after="0"/>
            </w:pPr>
            <w:r>
              <w:rPr>
                <w:sz w:val="17"/>
                <w:szCs w:val="17"/>
              </w:rPr>
              <w:t xml:space="preserve">Three recipients placed on a procedure. A read acknowledgement is REFUSED on a draft — attesting to a text that can still change proves nothing about what will be applied. After release, the function accepts an acknowledgement only for the person named to it, and the SOURCE of the server action is re-read to establish that it accepts no identifier coming from a form: only the session identity acts. A second acknowledgement for the same person and revision is refused. A deactivated recipient is counted separately — the revision can be declared read without them, without them being deemed to have read it. Finally, opening a revision supersedes the three rows while PRESERVING their acknowledgements, creates three fresh ones for the same recipients, all pending: a version nobody opened cannot pass for read. The trail names who read what, in both languages.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225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URS-48</w:t>
            </w:r>
          </w:p>
        </w:tc>
        <w:tc>
          <w:tcPr>
            <w:tcW w:type="pct" w:w="22%"/>
            <w:tcMar>
              <w:top w:type="dxa" w:w="80"/>
              <w:left w:type="dxa" w:w="110"/>
              <w:bottom w:type="dxa" w:w="80"/>
              <w:right w:type="dxa" w:w="110"/>
            </w:tcMar>
          </w:tcPr>
          <w:p>
            <w:pPr>
              <w:spacing w:after="0"/>
            </w:pPr>
            <w:r>
              <w:rPr>
                <w:b/>
                <w:bCs/>
                <w:color w:val="047857"/>
                <w:sz w:val="17"/>
                <w:szCs w:val="17"/>
              </w:rPr>
              <w:t xml:space="preserve">OQ-45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URS-49</w:t>
            </w:r>
          </w:p>
        </w:tc>
        <w:tc>
          <w:tcPr>
            <w:tcW w:type="pct" w:w="22%"/>
            <w:tcMar>
              <w:top w:type="dxa" w:w="80"/>
              <w:left w:type="dxa" w:w="110"/>
              <w:bottom w:type="dxa" w:w="80"/>
              <w:right w:type="dxa" w:w="110"/>
            </w:tcMar>
          </w:tcPr>
          <w:p>
            <w:pPr>
              <w:spacing w:after="0"/>
            </w:pPr>
            <w:r>
              <w:rPr>
                <w:b/>
                <w:bCs/>
                <w:color w:val="047857"/>
                <w:sz w:val="17"/>
                <w:szCs w:val="17"/>
              </w:rPr>
              <w:t xml:space="preserve">OQ-46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49 requirements, 45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fonts cover the domain alphabet — Greek, Cyrillic, mathematical operators, superscripts, fractions, arrows — as well as kana and ideograms; a qualification case re-reads that coverage on the delivered fonts, and a font announces only what it can draw. The ideograph font is embedded only in documents that carry them, and reduced to what they use: a record without ideograms pays nothing. REMAINING LIMITATION: Hangul, ideographs specific to Simplified Chinese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23 August 2026 at 10:36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2026-08-23T10:37:03.043Z</dcterms:created>
  <dcterms:modified xsi:type="dcterms:W3CDTF">2026-08-23T10:37:03.043Z</dcterms:modified>
</cp:coreProperties>
</file>

<file path=docProps/custom.xml><?xml version="1.0" encoding="utf-8"?>
<Properties xmlns="http://schemas.openxmlformats.org/officeDocument/2006/custom-properties" xmlns:vt="http://schemas.openxmlformats.org/officeDocument/2006/docPropsVTypes"/>
</file>