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0"/>
        <w:jc w:val="center"/>
      </w:pPr>
      <w:r>
        <w:rPr>
          <w:b/>
          <w:bCs/>
          <w:color w:val="4338CA"/>
          <w:sz w:val="44"/>
          <w:szCs w:val="44"/>
        </w:rPr>
        <w:t xml:space="preserve">Filum</w:t>
      </w:r>
    </w:p>
    <w:p>
      <w:pPr>
        <w:spacing w:after="60"/>
        <w:jc w:val="center"/>
      </w:pPr>
      <w:r>
        <w:rPr>
          <w:b/>
          <w:bCs/>
          <w:sz w:val="34"/>
          <w:szCs w:val="34"/>
        </w:rPr>
        <w:t xml:space="preserve">Dossier de validation logiciel</w:t>
      </w:r>
    </w:p>
    <w:p>
      <w:pPr>
        <w:spacing w:after="700"/>
        <w:jc w:val="center"/>
      </w:pPr>
      <w:r>
        <w:rPr>
          <w:color w:val="475569"/>
          <w:sz w:val="22"/>
          <w:szCs w:val="22"/>
        </w:rPr>
        <w:t xml:space="preserve">Ce que l'éditeur a vérifié · Ce qu'il vous reste à qualifier</w:t>
      </w:r>
    </w:p>
    <w:p>
      <w:pPr>
        <w:pStyle w:val="Heading1"/>
        <w:spacing w:after="140" w:before="320"/>
      </w:pPr>
      <w:r>
        <w:t xml:space="preserve">1. Objet et périmètre</w:t>
      </w:r>
    </w:p>
    <w:p>
      <w:pPr>
        <w:spacing w:after="120"/>
      </w:pPr>
      <w:r>
        <w:rPr>
          <w:sz w:val="20"/>
          <w:szCs w:val="20"/>
        </w:rPr>
        <w:t xml:space="preserve">Ce dossier documente la validation du logiciel Filum version 1.2.1 par son éditeur. Il est destiné à votre responsable qualité et peut être joint tel quel à votre dossier de qualification.</w:t>
      </w:r>
    </w:p>
    <w:p>
      <w:pPr>
        <w:spacing w:after="160"/>
      </w:pPr>
      <w:r>
        <w:rPr>
          <w:sz w:val="20"/>
          <w:szCs w:val="20"/>
        </w:rPr>
        <w:t xml:space="preserve">Il ne remplace pas votre propre validation. La norme EN ISO 13485:2016 §4.1.6 vous impose de valider les applications informatiques du système de management de la qualité pour VOTRE usage prévu, dans VOTRE environnement. Un dossier fournisseur est une entrée de cette démarche — une entrée substantielle, qui vous évite de reconstruire les preuves du fonctionnement interne du produit, mais qui ne dit rien de la façon dont vous l'employez.</w:t>
      </w:r>
    </w:p>
    <w:p>
      <w:pPr>
        <w:spacing w:after="160"/>
      </w:pPr>
      <w:r>
        <w:rPr>
          <w:sz w:val="20"/>
          <w:szCs w:val="20"/>
        </w:rPr>
        <w:t xml:space="preserve">La FDA le formule de la même manière : sa guidance « Computer Software Assurance for Production and Quality Management System Software » du 3 février 2026 admet explicitement de s'appuyer sur les preuves du fournisseur, et invite à concentrer l'effort de test là où le risque le justifie plutôt qu'à l'étaler uniformément. Le présent dossier est construit ainsi : chaque exigence porte un niveau de risque, et c'est lui qui détermine la profondeur de vérification.</w:t>
      </w:r>
    </w:p>
    <w:p>
      <w:pPr>
        <w:pStyle w:val="Heading2"/>
        <w:spacing w:after="140" w:before="320"/>
      </w:pPr>
      <w:r>
        <w:t xml:space="preserve">2. Référentiels appliqués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shd w:fill="E0E7FF"/>
            <w:tcMar>
              <w:top w:type="dxa" w:w="80"/>
              <w:left w:type="dxa" w:w="110"/>
              <w:bottom w:type="dxa" w:w="80"/>
              <w:right w:type="dxa" w:w="110"/>
            </w:tcMar>
          </w:tcPr>
          <w:p>
            <w:pPr>
              <w:spacing w:after="0"/>
            </w:pPr>
            <w:r>
              <w:rPr>
                <w:b/>
                <w:bCs/>
                <w:sz w:val="17"/>
                <w:szCs w:val="17"/>
              </w:rPr>
              <w:t xml:space="preserve">Référentiel</w:t>
            </w:r>
          </w:p>
        </w:tc>
        <w:tc>
          <w:tcPr>
            <w:tcW w:type="pct" w:w="70%"/>
            <w:shd w:fill="E0E7FF"/>
            <w:tcMar>
              <w:top w:type="dxa" w:w="80"/>
              <w:left w:type="dxa" w:w="110"/>
              <w:bottom w:type="dxa" w:w="80"/>
              <w:right w:type="dxa" w:w="110"/>
            </w:tcMar>
          </w:tcPr>
          <w:p>
            <w:pPr>
              <w:spacing w:after="0"/>
            </w:pPr>
            <w:r>
              <w:rPr>
                <w:b/>
                <w:bCs/>
                <w:sz w:val="17"/>
                <w:szCs w:val="17"/>
              </w:rPr>
              <w:t xml:space="preserve">Ce qu'il apporte à ce dossier</w:t>
            </w:r>
          </w:p>
        </w:tc>
      </w:tr>
      <w:tr>
        <w:tc>
          <w:tcPr>
            <w:tcW w:type="pct" w:w="30%"/>
            <w:tcMar>
              <w:top w:type="dxa" w:w="80"/>
              <w:left w:type="dxa" w:w="110"/>
              <w:bottom w:type="dxa" w:w="80"/>
              <w:right w:type="dxa" w:w="110"/>
            </w:tcMar>
          </w:tcPr>
          <w:p>
            <w:pPr>
              <w:spacing w:after="0"/>
            </w:pPr>
            <w:r>
              <w:rPr>
                <w:sz w:val="17"/>
                <w:szCs w:val="17"/>
              </w:rPr>
              <w:t xml:space="preserve">EN ISO 13485:2016 §4.1.6</w:t>
            </w:r>
          </w:p>
        </w:tc>
        <w:tc>
          <w:tcPr>
            <w:tcW w:type="pct" w:w="70%"/>
            <w:tcMar>
              <w:top w:type="dxa" w:w="80"/>
              <w:left w:type="dxa" w:w="110"/>
              <w:bottom w:type="dxa" w:w="80"/>
              <w:right w:type="dxa" w:w="110"/>
            </w:tcMar>
          </w:tcPr>
          <w:p>
            <w:pPr>
              <w:spacing w:after="0"/>
            </w:pPr>
            <w:r>
              <w:rPr>
                <w:sz w:val="17"/>
                <w:szCs w:val="17"/>
              </w:rPr>
              <w:t xml:space="preserve">Obligation de valider les logiciels du SMQ proportionnellement au risque, avant usage et après chaque changement.</w:t>
            </w:r>
          </w:p>
        </w:tc>
      </w:tr>
      <w:tr>
        <w:tc>
          <w:tcPr>
            <w:tcW w:type="pct" w:w="30%"/>
            <w:tcMar>
              <w:top w:type="dxa" w:w="80"/>
              <w:left w:type="dxa" w:w="110"/>
              <w:bottom w:type="dxa" w:w="80"/>
              <w:right w:type="dxa" w:w="110"/>
            </w:tcMar>
          </w:tcPr>
          <w:p>
            <w:pPr>
              <w:spacing w:after="0"/>
            </w:pPr>
            <w:r>
              <w:rPr>
                <w:sz w:val="17"/>
                <w:szCs w:val="17"/>
              </w:rPr>
              <w:t xml:space="preserve">FDA — Computer Software Assurance (3 février 2026)</w:t>
            </w:r>
          </w:p>
        </w:tc>
        <w:tc>
          <w:tcPr>
            <w:tcW w:type="pct" w:w="70%"/>
            <w:tcMar>
              <w:top w:type="dxa" w:w="80"/>
              <w:left w:type="dxa" w:w="110"/>
              <w:bottom w:type="dxa" w:w="80"/>
              <w:right w:type="dxa" w:w="110"/>
            </w:tcMar>
          </w:tcPr>
          <w:p>
            <w:pPr>
              <w:spacing w:after="0"/>
            </w:pPr>
            <w:r>
              <w:rPr>
                <w:sz w:val="17"/>
                <w:szCs w:val="17"/>
              </w:rPr>
              <w:t xml:space="preserve">Approche fondée sur l'usage prévu et le risque de processus ; possibilité de s'appuyer sur les preuves du fournisseur. Supersède la version du 24 septembre 2025 et la section 6 des General Principles of Software Validation (2002).</w:t>
            </w:r>
          </w:p>
        </w:tc>
      </w:tr>
      <w:tr>
        <w:tc>
          <w:tcPr>
            <w:tcW w:type="pct" w:w="30%"/>
            <w:tcMar>
              <w:top w:type="dxa" w:w="80"/>
              <w:left w:type="dxa" w:w="110"/>
              <w:bottom w:type="dxa" w:w="80"/>
              <w:right w:type="dxa" w:w="110"/>
            </w:tcMar>
          </w:tcPr>
          <w:p>
            <w:pPr>
              <w:spacing w:after="0"/>
            </w:pPr>
            <w:r>
              <w:rPr>
                <w:sz w:val="17"/>
                <w:szCs w:val="17"/>
              </w:rPr>
              <w:t xml:space="preserve">ISO/TR 80002-2:2017</w:t>
            </w:r>
          </w:p>
        </w:tc>
        <w:tc>
          <w:tcPr>
            <w:tcW w:type="pct" w:w="70%"/>
            <w:tcMar>
              <w:top w:type="dxa" w:w="80"/>
              <w:left w:type="dxa" w:w="110"/>
              <w:bottom w:type="dxa" w:w="80"/>
              <w:right w:type="dxa" w:w="110"/>
            </w:tcMar>
          </w:tcPr>
          <w:p>
            <w:pPr>
              <w:spacing w:after="0"/>
            </w:pPr>
            <w:r>
              <w:rPr>
                <w:sz w:val="17"/>
                <w:szCs w:val="17"/>
              </w:rPr>
              <w:t xml:space="preserve">Guide de validation des logiciels de systèmes qualité pour les dispositifs médicaux — graduation de l'effort selon l'impact.</w:t>
            </w:r>
          </w:p>
        </w:tc>
      </w:tr>
      <w:tr>
        <w:tc>
          <w:tcPr>
            <w:tcW w:type="pct" w:w="30%"/>
            <w:tcMar>
              <w:top w:type="dxa" w:w="80"/>
              <w:left w:type="dxa" w:w="110"/>
              <w:bottom w:type="dxa" w:w="80"/>
              <w:right w:type="dxa" w:w="110"/>
            </w:tcMar>
          </w:tcPr>
          <w:p>
            <w:pPr>
              <w:spacing w:after="0"/>
            </w:pPr>
            <w:r>
              <w:rPr>
                <w:sz w:val="17"/>
                <w:szCs w:val="17"/>
              </w:rPr>
              <w:t xml:space="preserve">GAMP 5 (2e édition, 2022)</w:t>
            </w:r>
          </w:p>
        </w:tc>
        <w:tc>
          <w:tcPr>
            <w:tcW w:type="pct" w:w="70%"/>
            <w:tcMar>
              <w:top w:type="dxa" w:w="80"/>
              <w:left w:type="dxa" w:w="110"/>
              <w:bottom w:type="dxa" w:w="80"/>
              <w:right w:type="dxa" w:w="110"/>
            </w:tcMar>
          </w:tcPr>
          <w:p>
            <w:pPr>
              <w:spacing w:after="0"/>
            </w:pPr>
            <w:r>
              <w:rPr>
                <w:sz w:val="17"/>
                <w:szCs w:val="17"/>
              </w:rPr>
              <w:t xml:space="preserve">Filum est un progiciel configurable (catégorie 4) : la configuration porte sur les rôles, les programmes, les types de documents et la bibliothèque de normes, non sur du code écrit pour un client.</w:t>
            </w:r>
          </w:p>
        </w:tc>
      </w:tr>
      <w:tr>
        <w:tc>
          <w:tcPr>
            <w:tcW w:type="pct" w:w="30%"/>
            <w:tcMar>
              <w:top w:type="dxa" w:w="80"/>
              <w:left w:type="dxa" w:w="110"/>
              <w:bottom w:type="dxa" w:w="80"/>
              <w:right w:type="dxa" w:w="110"/>
            </w:tcMar>
          </w:tcPr>
          <w:p>
            <w:pPr>
              <w:spacing w:after="0"/>
            </w:pPr>
            <w:r>
              <w:rPr>
                <w:sz w:val="17"/>
                <w:szCs w:val="17"/>
              </w:rPr>
              <w:t xml:space="preserve">21 CFR Part 11</w:t>
            </w:r>
          </w:p>
        </w:tc>
        <w:tc>
          <w:tcPr>
            <w:tcW w:type="pct" w:w="70%"/>
            <w:tcMar>
              <w:top w:type="dxa" w:w="80"/>
              <w:left w:type="dxa" w:w="110"/>
              <w:bottom w:type="dxa" w:w="80"/>
              <w:right w:type="dxa" w:w="110"/>
            </w:tcMar>
          </w:tcPr>
          <w:p>
            <w:pPr>
              <w:spacing w:after="0"/>
            </w:pPr>
            <w:r>
              <w:rPr>
                <w:sz w:val="17"/>
                <w:szCs w:val="17"/>
              </w:rPr>
              <w:t xml:space="preserve">Les contrôles techniques dont dépendent vos enregistrements électroniques. La matrice clause par clause est un document séparé, remis avec celui-ci.</w:t>
            </w:r>
          </w:p>
        </w:tc>
      </w:tr>
    </w:tbl>
    <w:p>
      <w:pPr>
        <w:pStyle w:val="Heading1"/>
        <w:spacing w:after="140" w:before="320"/>
      </w:pPr>
      <w:r>
        <w:t xml:space="preserve">3. Exigences de validation</w:t>
      </w:r>
    </w:p>
    <w:p>
      <w:pPr>
        <w:spacing w:after="140"/>
      </w:pPr>
      <w:r>
        <w:rPr>
          <w:sz w:val="20"/>
          <w:szCs w:val="20"/>
        </w:rPr>
        <w:t xml:space="preserve">Les 49 exigences ci-dessous énoncent ce que le logiciel doit faire. Le niveau de risque est celui de la DÉFAILLANCE de l'exigence, pas de son importance commerciale : il détermine la profondeur de vérification.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shd w:fill="E0E7FF"/>
            <w:tcMar>
              <w:top w:type="dxa" w:w="80"/>
              <w:left w:type="dxa" w:w="110"/>
              <w:bottom w:type="dxa" w:w="80"/>
              <w:right w:type="dxa" w:w="110"/>
            </w:tcMar>
          </w:tcPr>
          <w:p>
            <w:pPr>
              <w:spacing w:after="0"/>
            </w:pPr>
            <w:r>
              <w:rPr>
                <w:b/>
                <w:bCs/>
                <w:sz w:val="17"/>
                <w:szCs w:val="17"/>
              </w:rPr>
              <w:t xml:space="preserve">Réf. / risque</w:t>
            </w:r>
          </w:p>
        </w:tc>
        <w:tc>
          <w:tcPr>
            <w:tcW w:type="pct" w:w="41%"/>
            <w:shd w:fill="E0E7FF"/>
            <w:tcMar>
              <w:top w:type="dxa" w:w="80"/>
              <w:left w:type="dxa" w:w="110"/>
              <w:bottom w:type="dxa" w:w="80"/>
              <w:right w:type="dxa" w:w="110"/>
            </w:tcMar>
          </w:tcPr>
          <w:p>
            <w:pPr>
              <w:spacing w:after="0"/>
            </w:pPr>
            <w:r>
              <w:rPr>
                <w:b/>
                <w:bCs/>
                <w:sz w:val="17"/>
                <w:szCs w:val="17"/>
              </w:rPr>
              <w:t xml:space="preserve">Exigence</w:t>
            </w:r>
          </w:p>
        </w:tc>
        <w:tc>
          <w:tcPr>
            <w:tcW w:type="pct" w:w="28%"/>
            <w:shd w:fill="E0E7FF"/>
            <w:tcMar>
              <w:top w:type="dxa" w:w="80"/>
              <w:left w:type="dxa" w:w="110"/>
              <w:bottom w:type="dxa" w:w="80"/>
              <w:right w:type="dxa" w:w="110"/>
            </w:tcMar>
          </w:tcPr>
          <w:p>
            <w:pPr>
              <w:spacing w:after="0"/>
            </w:pPr>
            <w:r>
              <w:rPr>
                <w:b/>
                <w:bCs/>
                <w:sz w:val="17"/>
                <w:szCs w:val="17"/>
              </w:rPr>
              <w:t xml:space="preserve">Pourquoi ce niveau de risque</w:t>
            </w:r>
          </w:p>
        </w:tc>
        <w:tc>
          <w:tcPr>
            <w:tcW w:type="pct" w:w="20%"/>
            <w:shd w:fill="E0E7FF"/>
            <w:tcMar>
              <w:top w:type="dxa" w:w="80"/>
              <w:left w:type="dxa" w:w="110"/>
              <w:bottom w:type="dxa" w:w="80"/>
              <w:right w:type="dxa" w:w="110"/>
            </w:tcMar>
          </w:tcPr>
          <w:p>
            <w:pPr>
              <w:spacing w:after="0"/>
            </w:pPr>
            <w:r>
              <w:rPr>
                <w:b/>
                <w:bCs/>
                <w:sz w:val="17"/>
                <w:szCs w:val="17"/>
              </w:rPr>
              <w:t xml:space="preserve">Clauses concernées</w:t>
            </w:r>
          </w:p>
        </w:tc>
      </w:tr>
      <w:tr>
        <w:tc>
          <w:tcPr>
            <w:tcW w:type="pct" w:w="11%"/>
            <w:shd w:fill="F8FAFC"/>
            <w:tcMar>
              <w:top w:type="dxa" w:w="80"/>
              <w:left w:type="dxa" w:w="110"/>
              <w:bottom w:type="dxa" w:w="80"/>
              <w:right w:type="dxa" w:w="110"/>
            </w:tcMar>
          </w:tcPr>
          <w:p>
            <w:pPr>
              <w:spacing w:after="60"/>
            </w:pPr>
            <w:r>
              <w:rPr>
                <w:b/>
                <w:bCs/>
                <w:color w:val="4338CA"/>
                <w:sz w:val="17"/>
                <w:szCs w:val="17"/>
              </w:rPr>
              <w:t xml:space="preserve">URS-01</w:t>
            </w:r>
          </w:p>
          <w:p>
            <w:pPr>
              <w:spacing w:after="0"/>
            </w:pPr>
            <w:r>
              <w:rPr>
                <w:b/>
                <w:bCs/>
                <w:color w:val="DC2626"/>
                <w:sz w:val="15"/>
                <w:szCs w:val="15"/>
              </w:rPr>
              <w:t xml:space="preserve">Haut</w:t>
            </w:r>
          </w:p>
        </w:tc>
        <w:tc>
          <w:tcPr>
            <w:tcW w:type="pct" w:w="41%"/>
            <w:tcMar>
              <w:top w:type="dxa" w:w="80"/>
              <w:left w:type="dxa" w:w="110"/>
              <w:bottom w:type="dxa" w:w="80"/>
              <w:right w:type="dxa" w:w="110"/>
            </w:tcMar>
          </w:tcPr>
          <w:p>
            <w:pPr>
              <w:spacing w:after="0"/>
            </w:pPr>
            <w:r>
              <w:rPr>
                <w:sz w:val="17"/>
                <w:szCs w:val="17"/>
              </w:rPr>
              <w:t xml:space="preserve">Le logiciel n'expose aucune donnée du dossier de conception sans session authentifiée valide, y compris sur les routes de téléchargement.</w:t>
            </w:r>
          </w:p>
        </w:tc>
        <w:tc>
          <w:tcPr>
            <w:tcW w:type="pct" w:w="28%"/>
            <w:tcMar>
              <w:top w:type="dxa" w:w="80"/>
              <w:left w:type="dxa" w:w="110"/>
              <w:bottom w:type="dxa" w:w="80"/>
              <w:right w:type="dxa" w:w="110"/>
            </w:tcMar>
          </w:tcPr>
          <w:p>
            <w:pPr>
              <w:spacing w:after="0"/>
            </w:pPr>
            <w:r>
              <w:rPr>
                <w:sz w:val="17"/>
                <w:szCs w:val="17"/>
              </w:rPr>
              <w:t xml:space="preserve">Une fuite d'enregistrements de conception compromet le secret industriel du client et l'attribution des actes (ALCOA+).</w:t>
            </w:r>
          </w:p>
        </w:tc>
        <w:tc>
          <w:tcPr>
            <w:tcW w:type="pct" w:w="20%"/>
            <w:tcMar>
              <w:top w:type="dxa" w:w="80"/>
              <w:left w:type="dxa" w:w="110"/>
              <w:bottom w:type="dxa" w:w="80"/>
              <w:right w:type="dxa" w:w="110"/>
            </w:tcMar>
          </w:tcPr>
          <w:p>
            <w:pPr>
              <w:spacing w:after="0"/>
            </w:pPr>
            <w:r>
              <w:rPr>
                <w:sz w:val="17"/>
                <w:szCs w:val="17"/>
              </w:rPr>
              <w:t xml:space="preserve">21 CFR 11.10(d) · 21 CFR 11.10(g)</w:t>
            </w:r>
          </w:p>
        </w:tc>
      </w:tr>
      <w:tr>
        <w:tc>
          <w:tcPr>
            <w:tcW w:type="pct" w:w="11%"/>
            <w:shd w:fill="F8FAFC"/>
            <w:tcMar>
              <w:top w:type="dxa" w:w="80"/>
              <w:left w:type="dxa" w:w="110"/>
              <w:bottom w:type="dxa" w:w="80"/>
              <w:right w:type="dxa" w:w="110"/>
            </w:tcMar>
          </w:tcPr>
          <w:p>
            <w:pPr>
              <w:spacing w:after="60"/>
            </w:pPr>
            <w:r>
              <w:rPr>
                <w:b/>
                <w:bCs/>
                <w:color w:val="4338CA"/>
                <w:sz w:val="17"/>
                <w:szCs w:val="17"/>
              </w:rPr>
              <w:t xml:space="preserve">URS-02</w:t>
            </w:r>
          </w:p>
          <w:p>
            <w:pPr>
              <w:spacing w:after="0"/>
            </w:pPr>
            <w:r>
              <w:rPr>
                <w:b/>
                <w:bCs/>
                <w:color w:val="DC2626"/>
                <w:sz w:val="15"/>
                <w:szCs w:val="15"/>
              </w:rPr>
              <w:t xml:space="preserve">Haut</w:t>
            </w:r>
          </w:p>
        </w:tc>
        <w:tc>
          <w:tcPr>
            <w:tcW w:type="pct" w:w="41%"/>
            <w:tcMar>
              <w:top w:type="dxa" w:w="80"/>
              <w:left w:type="dxa" w:w="110"/>
              <w:bottom w:type="dxa" w:w="80"/>
              <w:right w:type="dxa" w:w="110"/>
            </w:tcMar>
          </w:tcPr>
          <w:p>
            <w:pPr>
              <w:spacing w:after="0"/>
            </w:pPr>
            <w:r>
              <w:rPr>
                <w:sz w:val="17"/>
                <w:szCs w:val="17"/>
              </w:rPr>
              <w:t xml:space="preserve">Les contrôles d'autorité sont appliqués côté serveur : un rôle ne peut exécuter que les opérations que son niveau permet, indépendamment de ce que l'interface affiche.</w:t>
            </w:r>
          </w:p>
        </w:tc>
        <w:tc>
          <w:tcPr>
            <w:tcW w:type="pct" w:w="28%"/>
            <w:tcMar>
              <w:top w:type="dxa" w:w="80"/>
              <w:left w:type="dxa" w:w="110"/>
              <w:bottom w:type="dxa" w:w="80"/>
              <w:right w:type="dxa" w:w="110"/>
            </w:tcMar>
          </w:tcPr>
          <w:p>
            <w:pPr>
              <w:spacing w:after="0"/>
            </w:pPr>
            <w:r>
              <w:rPr>
                <w:sz w:val="17"/>
                <w:szCs w:val="17"/>
              </w:rPr>
              <w:t xml:space="preserve">Une écriture par une personne non habilitée invalide l'attribution des enregistrements et la responsabilité qui s'y attache.</w:t>
            </w:r>
          </w:p>
        </w:tc>
        <w:tc>
          <w:tcPr>
            <w:tcW w:type="pct" w:w="20%"/>
            <w:tcMar>
              <w:top w:type="dxa" w:w="80"/>
              <w:left w:type="dxa" w:w="110"/>
              <w:bottom w:type="dxa" w:w="80"/>
              <w:right w:type="dxa" w:w="110"/>
            </w:tcMar>
          </w:tcPr>
          <w:p>
            <w:pPr>
              <w:spacing w:after="0"/>
            </w:pPr>
            <w:r>
              <w:rPr>
                <w:sz w:val="17"/>
                <w:szCs w:val="17"/>
              </w:rPr>
              <w:t xml:space="preserve">21 CFR 11.10(d) · ISO 13485 §4.1.6</w:t>
            </w:r>
          </w:p>
        </w:tc>
      </w:tr>
      <w:tr>
        <w:tc>
          <w:tcPr>
            <w:tcW w:type="pct" w:w="11%"/>
            <w:shd w:fill="F8FAFC"/>
            <w:tcMar>
              <w:top w:type="dxa" w:w="80"/>
              <w:left w:type="dxa" w:w="110"/>
              <w:bottom w:type="dxa" w:w="80"/>
              <w:right w:type="dxa" w:w="110"/>
            </w:tcMar>
          </w:tcPr>
          <w:p>
            <w:pPr>
              <w:spacing w:after="60"/>
            </w:pPr>
            <w:r>
              <w:rPr>
                <w:b/>
                <w:bCs/>
                <w:color w:val="4338CA"/>
                <w:sz w:val="17"/>
                <w:szCs w:val="17"/>
              </w:rPr>
              <w:t xml:space="preserve">URS-03</w:t>
            </w:r>
          </w:p>
          <w:p>
            <w:pPr>
              <w:spacing w:after="0"/>
            </w:pPr>
            <w:r>
              <w:rPr>
                <w:b/>
                <w:bCs/>
                <w:color w:val="DC2626"/>
                <w:sz w:val="15"/>
                <w:szCs w:val="15"/>
              </w:rPr>
              <w:t xml:space="preserve">Haut</w:t>
            </w:r>
          </w:p>
        </w:tc>
        <w:tc>
          <w:tcPr>
            <w:tcW w:type="pct" w:w="41%"/>
            <w:tcMar>
              <w:top w:type="dxa" w:w="80"/>
              <w:left w:type="dxa" w:w="110"/>
              <w:bottom w:type="dxa" w:w="80"/>
              <w:right w:type="dxa" w:w="110"/>
            </w:tcMar>
          </w:tcPr>
          <w:p>
            <w:pPr>
              <w:spacing w:after="0"/>
            </w:pPr>
            <w:r>
              <w:rPr>
                <w:sz w:val="17"/>
                <w:szCs w:val="17"/>
              </w:rPr>
              <w:t xml:space="preserve">Toute écriture dans le dossier produit une entrée de piste d'audit portant l'auteur, l'horodatage système et le motif de l'opération.</w:t>
            </w:r>
          </w:p>
        </w:tc>
        <w:tc>
          <w:tcPr>
            <w:tcW w:type="pct" w:w="28%"/>
            <w:tcMar>
              <w:top w:type="dxa" w:w="80"/>
              <w:left w:type="dxa" w:w="110"/>
              <w:bottom w:type="dxa" w:w="80"/>
              <w:right w:type="dxa" w:w="110"/>
            </w:tcMar>
          </w:tcPr>
          <w:p>
            <w:pPr>
              <w:spacing w:after="0"/>
            </w:pPr>
            <w:r>
              <w:rPr>
                <w:sz w:val="17"/>
                <w:szCs w:val="17"/>
              </w:rPr>
              <w:t xml:space="preserve">Sans piste d'audit complète, aucun enregistrement n'est défendable : c'est la première chose qu'un inspecteur demande.</w:t>
            </w:r>
          </w:p>
        </w:tc>
        <w:tc>
          <w:tcPr>
            <w:tcW w:type="pct" w:w="20%"/>
            <w:tcMar>
              <w:top w:type="dxa" w:w="80"/>
              <w:left w:type="dxa" w:w="110"/>
              <w:bottom w:type="dxa" w:w="80"/>
              <w:right w:type="dxa" w:w="110"/>
            </w:tcMar>
          </w:tcPr>
          <w:p>
            <w:pPr>
              <w:spacing w:after="0"/>
            </w:pPr>
            <w:r>
              <w:rPr>
                <w:sz w:val="17"/>
                <w:szCs w:val="17"/>
              </w:rPr>
              <w:t xml:space="preserve">21 CFR 11.10(e) · ISO 13485 §4.2.5</w:t>
            </w:r>
          </w:p>
        </w:tc>
      </w:tr>
      <w:tr>
        <w:tc>
          <w:tcPr>
            <w:tcW w:type="pct" w:w="11%"/>
            <w:shd w:fill="F8FAFC"/>
            <w:tcMar>
              <w:top w:type="dxa" w:w="80"/>
              <w:left w:type="dxa" w:w="110"/>
              <w:bottom w:type="dxa" w:w="80"/>
              <w:right w:type="dxa" w:w="110"/>
            </w:tcMar>
          </w:tcPr>
          <w:p>
            <w:pPr>
              <w:spacing w:after="60"/>
            </w:pPr>
            <w:r>
              <w:rPr>
                <w:b/>
                <w:bCs/>
                <w:color w:val="4338CA"/>
                <w:sz w:val="17"/>
                <w:szCs w:val="17"/>
              </w:rPr>
              <w:t xml:space="preserve">URS-04</w:t>
            </w:r>
          </w:p>
          <w:p>
            <w:pPr>
              <w:spacing w:after="0"/>
            </w:pPr>
            <w:r>
              <w:rPr>
                <w:b/>
                <w:bCs/>
                <w:color w:val="DC2626"/>
                <w:sz w:val="15"/>
                <w:szCs w:val="15"/>
              </w:rPr>
              <w:t xml:space="preserve">Haut</w:t>
            </w:r>
          </w:p>
        </w:tc>
        <w:tc>
          <w:tcPr>
            <w:tcW w:type="pct" w:w="41%"/>
            <w:tcMar>
              <w:top w:type="dxa" w:w="80"/>
              <w:left w:type="dxa" w:w="110"/>
              <w:bottom w:type="dxa" w:w="80"/>
              <w:right w:type="dxa" w:w="110"/>
            </w:tcMar>
          </w:tcPr>
          <w:p>
            <w:pPr>
              <w:spacing w:after="0"/>
            </w:pPr>
            <w:r>
              <w:rPr>
                <w:sz w:val="17"/>
                <w:szCs w:val="17"/>
              </w:rPr>
              <w:t xml:space="preserve">La piste d'audit est en ajout seul : aucune fonction de l'application ne modifie ni ne supprime une entrée existante.</w:t>
            </w:r>
          </w:p>
        </w:tc>
        <w:tc>
          <w:tcPr>
            <w:tcW w:type="pct" w:w="28%"/>
            <w:tcMar>
              <w:top w:type="dxa" w:w="80"/>
              <w:left w:type="dxa" w:w="110"/>
              <w:bottom w:type="dxa" w:w="80"/>
              <w:right w:type="dxa" w:w="110"/>
            </w:tcMar>
          </w:tcPr>
          <w:p>
            <w:pPr>
              <w:spacing w:after="0"/>
            </w:pPr>
            <w:r>
              <w:rPr>
                <w:sz w:val="17"/>
                <w:szCs w:val="17"/>
              </w:rPr>
              <w:t xml:space="preserve">Une piste réinscriptible ne prouve rien ; elle donne au contraire une fausse assurance.</w:t>
            </w:r>
          </w:p>
        </w:tc>
        <w:tc>
          <w:tcPr>
            <w:tcW w:type="pct" w:w="20%"/>
            <w:tcMar>
              <w:top w:type="dxa" w:w="80"/>
              <w:left w:type="dxa" w:w="110"/>
              <w:bottom w:type="dxa" w:w="80"/>
              <w:right w:type="dxa" w:w="110"/>
            </w:tcMar>
          </w:tcPr>
          <w:p>
            <w:pPr>
              <w:spacing w:after="0"/>
            </w:pPr>
            <w:r>
              <w:rPr>
                <w:sz w:val="17"/>
                <w:szCs w:val="17"/>
              </w:rPr>
              <w:t xml:space="preserve">21 CFR 11.10(e)</w:t>
            </w:r>
          </w:p>
        </w:tc>
      </w:tr>
      <w:tr>
        <w:tc>
          <w:tcPr>
            <w:tcW w:type="pct" w:w="11%"/>
            <w:shd w:fill="F8FAFC"/>
            <w:tcMar>
              <w:top w:type="dxa" w:w="80"/>
              <w:left w:type="dxa" w:w="110"/>
              <w:bottom w:type="dxa" w:w="80"/>
              <w:right w:type="dxa" w:w="110"/>
            </w:tcMar>
          </w:tcPr>
          <w:p>
            <w:pPr>
              <w:spacing w:after="60"/>
            </w:pPr>
            <w:r>
              <w:rPr>
                <w:b/>
                <w:bCs/>
                <w:color w:val="4338CA"/>
                <w:sz w:val="17"/>
                <w:szCs w:val="17"/>
              </w:rPr>
              <w:t xml:space="preserve">URS-05</w:t>
            </w:r>
          </w:p>
          <w:p>
            <w:pPr>
              <w:spacing w:after="0"/>
            </w:pPr>
            <w:r>
              <w:rPr>
                <w:b/>
                <w:bCs/>
                <w:color w:val="DC2626"/>
                <w:sz w:val="15"/>
                <w:szCs w:val="15"/>
              </w:rPr>
              <w:t xml:space="preserve">Haut</w:t>
            </w:r>
          </w:p>
        </w:tc>
        <w:tc>
          <w:tcPr>
            <w:tcW w:type="pct" w:w="41%"/>
            <w:tcMar>
              <w:top w:type="dxa" w:w="80"/>
              <w:left w:type="dxa" w:w="110"/>
              <w:bottom w:type="dxa" w:w="80"/>
              <w:right w:type="dxa" w:w="110"/>
            </w:tcMar>
          </w:tcPr>
          <w:p>
            <w:pPr>
              <w:spacing w:after="0"/>
            </w:pPr>
            <w:r>
              <w:rPr>
                <w:sz w:val="17"/>
                <w:szCs w:val="17"/>
              </w:rPr>
              <w:t xml:space="preserve">Chaque apposition de signature électronique exige deux composants d'identification distincts : la session authentifiée et la re-saisie du mot de passe.</w:t>
            </w:r>
          </w:p>
        </w:tc>
        <w:tc>
          <w:tcPr>
            <w:tcW w:type="pct" w:w="28%"/>
            <w:tcMar>
              <w:top w:type="dxa" w:w="80"/>
              <w:left w:type="dxa" w:w="110"/>
              <w:bottom w:type="dxa" w:w="80"/>
              <w:right w:type="dxa" w:w="110"/>
            </w:tcMar>
          </w:tcPr>
          <w:p>
            <w:pPr>
              <w:spacing w:after="0"/>
            </w:pPr>
            <w:r>
              <w:rPr>
                <w:sz w:val="17"/>
                <w:szCs w:val="17"/>
              </w:rPr>
              <w:t xml:space="preserve">Une signature apposée sans ré-authentification peut être le fait de quiconque passe devant un poste déverrouillé.</w:t>
            </w:r>
          </w:p>
        </w:tc>
        <w:tc>
          <w:tcPr>
            <w:tcW w:type="pct" w:w="20%"/>
            <w:tcMar>
              <w:top w:type="dxa" w:w="80"/>
              <w:left w:type="dxa" w:w="110"/>
              <w:bottom w:type="dxa" w:w="80"/>
              <w:right w:type="dxa" w:w="110"/>
            </w:tcMar>
          </w:tcPr>
          <w:p>
            <w:pPr>
              <w:spacing w:after="0"/>
            </w:pPr>
            <w:r>
              <w:rPr>
                <w:sz w:val="17"/>
                <w:szCs w:val="17"/>
              </w:rPr>
              <w:t xml:space="preserve">21 CFR 11.200(a)(1)</w:t>
            </w:r>
          </w:p>
        </w:tc>
      </w:tr>
      <w:tr>
        <w:tc>
          <w:tcPr>
            <w:tcW w:type="pct" w:w="11%"/>
            <w:shd w:fill="F8FAFC"/>
            <w:tcMar>
              <w:top w:type="dxa" w:w="80"/>
              <w:left w:type="dxa" w:w="110"/>
              <w:bottom w:type="dxa" w:w="80"/>
              <w:right w:type="dxa" w:w="110"/>
            </w:tcMar>
          </w:tcPr>
          <w:p>
            <w:pPr>
              <w:spacing w:after="60"/>
            </w:pPr>
            <w:r>
              <w:rPr>
                <w:b/>
                <w:bCs/>
                <w:color w:val="4338CA"/>
                <w:sz w:val="17"/>
                <w:szCs w:val="17"/>
              </w:rPr>
              <w:t xml:space="preserve">URS-06</w:t>
            </w:r>
          </w:p>
          <w:p>
            <w:pPr>
              <w:spacing w:after="0"/>
            </w:pPr>
            <w:r>
              <w:rPr>
                <w:b/>
                <w:bCs/>
                <w:color w:val="DC2626"/>
                <w:sz w:val="15"/>
                <w:szCs w:val="15"/>
              </w:rPr>
              <w:t xml:space="preserve">Haut</w:t>
            </w:r>
          </w:p>
        </w:tc>
        <w:tc>
          <w:tcPr>
            <w:tcW w:type="pct" w:w="41%"/>
            <w:tcMar>
              <w:top w:type="dxa" w:w="80"/>
              <w:left w:type="dxa" w:w="110"/>
              <w:bottom w:type="dxa" w:w="80"/>
              <w:right w:type="dxa" w:w="110"/>
            </w:tcMar>
          </w:tcPr>
          <w:p>
            <w:pPr>
              <w:spacing w:after="0"/>
            </w:pPr>
            <w:r>
              <w:rPr>
                <w:sz w:val="17"/>
                <w:szCs w:val="17"/>
              </w:rPr>
              <w:t xml:space="preserve">Un mot de passe est vérifié contre une empreinte dérivée (scrypt, sel unique par compte) et jamais conservé en clair ; deux comptes de même mot de passe produisent des empreintes différentes.</w:t>
            </w:r>
          </w:p>
        </w:tc>
        <w:tc>
          <w:tcPr>
            <w:tcW w:type="pct" w:w="28%"/>
            <w:tcMar>
              <w:top w:type="dxa" w:w="80"/>
              <w:left w:type="dxa" w:w="110"/>
              <w:bottom w:type="dxa" w:w="80"/>
              <w:right w:type="dxa" w:w="110"/>
            </w:tcMar>
          </w:tcPr>
          <w:p>
            <w:pPr>
              <w:spacing w:after="0"/>
            </w:pPr>
            <w:r>
              <w:rPr>
                <w:sz w:val="17"/>
                <w:szCs w:val="17"/>
              </w:rPr>
              <w:t xml:space="preserve">Le mot de passe est le second composant de la signature électronique : sa compromission compromet toutes les signatures du compte.</w:t>
            </w:r>
          </w:p>
        </w:tc>
        <w:tc>
          <w:tcPr>
            <w:tcW w:type="pct" w:w="20%"/>
            <w:tcMar>
              <w:top w:type="dxa" w:w="80"/>
              <w:left w:type="dxa" w:w="110"/>
              <w:bottom w:type="dxa" w:w="80"/>
              <w:right w:type="dxa" w:w="110"/>
            </w:tcMar>
          </w:tcPr>
          <w:p>
            <w:pPr>
              <w:spacing w:after="0"/>
            </w:pPr>
            <w:r>
              <w:rPr>
                <w:sz w:val="17"/>
                <w:szCs w:val="17"/>
              </w:rPr>
              <w:t xml:space="preserve">21 CFR 11.300(b) · 21 CFR 11.300(d)</w:t>
            </w:r>
          </w:p>
        </w:tc>
      </w:tr>
      <w:tr>
        <w:tc>
          <w:tcPr>
            <w:tcW w:type="pct" w:w="11%"/>
            <w:shd w:fill="F8FAFC"/>
            <w:tcMar>
              <w:top w:type="dxa" w:w="80"/>
              <w:left w:type="dxa" w:w="110"/>
              <w:bottom w:type="dxa" w:w="80"/>
              <w:right w:type="dxa" w:w="110"/>
            </w:tcMar>
          </w:tcPr>
          <w:p>
            <w:pPr>
              <w:spacing w:after="60"/>
            </w:pPr>
            <w:r>
              <w:rPr>
                <w:b/>
                <w:bCs/>
                <w:color w:val="4338CA"/>
                <w:sz w:val="17"/>
                <w:szCs w:val="17"/>
              </w:rPr>
              <w:t xml:space="preserve">URS-07</w:t>
            </w:r>
          </w:p>
          <w:p>
            <w:pPr>
              <w:spacing w:after="0"/>
            </w:pPr>
            <w:r>
              <w:rPr>
                <w:b/>
                <w:bCs/>
                <w:color w:val="DC2626"/>
                <w:sz w:val="15"/>
                <w:szCs w:val="15"/>
              </w:rPr>
              <w:t xml:space="preserve">Haut</w:t>
            </w:r>
          </w:p>
        </w:tc>
        <w:tc>
          <w:tcPr>
            <w:tcW w:type="pct" w:w="41%"/>
            <w:tcMar>
              <w:top w:type="dxa" w:w="80"/>
              <w:left w:type="dxa" w:w="110"/>
              <w:bottom w:type="dxa" w:w="80"/>
              <w:right w:type="dxa" w:w="110"/>
            </w:tcMar>
          </w:tcPr>
          <w:p>
            <w:pPr>
              <w:spacing w:after="0"/>
            </w:pPr>
            <w:r>
              <w:rPr>
                <w:sz w:val="17"/>
                <w:szCs w:val="17"/>
              </w:rPr>
              <w:t xml:space="preserve">La manifestation de signature porte, sous forme lisible, le nom imprimé figé du signataire, la signification de la signature et son horodatage UTC.</w:t>
            </w:r>
          </w:p>
        </w:tc>
        <w:tc>
          <w:tcPr>
            <w:tcW w:type="pct" w:w="28%"/>
            <w:tcMar>
              <w:top w:type="dxa" w:w="80"/>
              <w:left w:type="dxa" w:w="110"/>
              <w:bottom w:type="dxa" w:w="80"/>
              <w:right w:type="dxa" w:w="110"/>
            </w:tcMar>
          </w:tcPr>
          <w:p>
            <w:pPr>
              <w:spacing w:after="0"/>
            </w:pPr>
            <w:r>
              <w:rPr>
                <w:sz w:val="17"/>
                <w:szCs w:val="17"/>
              </w:rPr>
              <w:t xml:space="preserve">Une signature dont on ne peut pas lire le sens ni l'auteur n'est pas une signature au sens du 11.50.</w:t>
            </w:r>
          </w:p>
        </w:tc>
        <w:tc>
          <w:tcPr>
            <w:tcW w:type="pct" w:w="20%"/>
            <w:tcMar>
              <w:top w:type="dxa" w:w="80"/>
              <w:left w:type="dxa" w:w="110"/>
              <w:bottom w:type="dxa" w:w="80"/>
              <w:right w:type="dxa" w:w="110"/>
            </w:tcMar>
          </w:tcPr>
          <w:p>
            <w:pPr>
              <w:spacing w:after="0"/>
            </w:pPr>
            <w:r>
              <w:rPr>
                <w:sz w:val="17"/>
                <w:szCs w:val="17"/>
              </w:rPr>
              <w:t xml:space="preserve">21 CFR 11.50(a)</w:t>
            </w:r>
          </w:p>
        </w:tc>
      </w:tr>
      <w:tr>
        <w:tc>
          <w:tcPr>
            <w:tcW w:type="pct" w:w="11%"/>
            <w:shd w:fill="F8FAFC"/>
            <w:tcMar>
              <w:top w:type="dxa" w:w="80"/>
              <w:left w:type="dxa" w:w="110"/>
              <w:bottom w:type="dxa" w:w="80"/>
              <w:right w:type="dxa" w:w="110"/>
            </w:tcMar>
          </w:tcPr>
          <w:p>
            <w:pPr>
              <w:spacing w:after="60"/>
            </w:pPr>
            <w:r>
              <w:rPr>
                <w:b/>
                <w:bCs/>
                <w:color w:val="4338CA"/>
                <w:sz w:val="17"/>
                <w:szCs w:val="17"/>
              </w:rPr>
              <w:t xml:space="preserve">URS-08</w:t>
            </w:r>
          </w:p>
          <w:p>
            <w:pPr>
              <w:spacing w:after="0"/>
            </w:pPr>
            <w:r>
              <w:rPr>
                <w:b/>
                <w:bCs/>
                <w:color w:val="DC2626"/>
                <w:sz w:val="15"/>
                <w:szCs w:val="15"/>
              </w:rPr>
              <w:t xml:space="preserve">Haut</w:t>
            </w:r>
          </w:p>
        </w:tc>
        <w:tc>
          <w:tcPr>
            <w:tcW w:type="pct" w:w="41%"/>
            <w:tcMar>
              <w:top w:type="dxa" w:w="80"/>
              <w:left w:type="dxa" w:w="110"/>
              <w:bottom w:type="dxa" w:w="80"/>
              <w:right w:type="dxa" w:w="110"/>
            </w:tcMar>
          </w:tcPr>
          <w:p>
            <w:pPr>
              <w:spacing w:after="0"/>
            </w:pPr>
            <w:r>
              <w:rPr>
                <w:sz w:val="17"/>
                <w:szCs w:val="17"/>
              </w:rPr>
              <w:t xml:space="preserve">Chaque signature est liée à l'enregistrement qu'elle atteste par l'empreinte SHA-256 du contenu gelé, recopiée dans l'enregistrement de signature lui-même.</w:t>
            </w:r>
          </w:p>
        </w:tc>
        <w:tc>
          <w:tcPr>
            <w:tcW w:type="pct" w:w="28%"/>
            <w:tcMar>
              <w:top w:type="dxa" w:w="80"/>
              <w:left w:type="dxa" w:w="110"/>
              <w:bottom w:type="dxa" w:w="80"/>
              <w:right w:type="dxa" w:w="110"/>
            </w:tcMar>
          </w:tcPr>
          <w:p>
            <w:pPr>
              <w:spacing w:after="0"/>
            </w:pPr>
            <w:r>
              <w:rPr>
                <w:sz w:val="17"/>
                <w:szCs w:val="17"/>
              </w:rPr>
              <w:t xml:space="preserve">Sans liaison, une signature peut être transposée sur un autre contenu — c'est précisément ce que le 11.70 vise à empêcher.</w:t>
            </w:r>
          </w:p>
        </w:tc>
        <w:tc>
          <w:tcPr>
            <w:tcW w:type="pct" w:w="20%"/>
            <w:tcMar>
              <w:top w:type="dxa" w:w="80"/>
              <w:left w:type="dxa" w:w="110"/>
              <w:bottom w:type="dxa" w:w="80"/>
              <w:right w:type="dxa" w:w="110"/>
            </w:tcMar>
          </w:tcPr>
          <w:p>
            <w:pPr>
              <w:spacing w:after="0"/>
            </w:pPr>
            <w:r>
              <w:rPr>
                <w:sz w:val="17"/>
                <w:szCs w:val="17"/>
              </w:rPr>
              <w:t xml:space="preserve">21 CFR 11.70</w:t>
            </w:r>
          </w:p>
        </w:tc>
      </w:tr>
      <w:tr>
        <w:tc>
          <w:tcPr>
            <w:tcW w:type="pct" w:w="11%"/>
            <w:shd w:fill="F8FAFC"/>
            <w:tcMar>
              <w:top w:type="dxa" w:w="80"/>
              <w:left w:type="dxa" w:w="110"/>
              <w:bottom w:type="dxa" w:w="80"/>
              <w:right w:type="dxa" w:w="110"/>
            </w:tcMar>
          </w:tcPr>
          <w:p>
            <w:pPr>
              <w:spacing w:after="60"/>
            </w:pPr>
            <w:r>
              <w:rPr>
                <w:b/>
                <w:bCs/>
                <w:color w:val="4338CA"/>
                <w:sz w:val="17"/>
                <w:szCs w:val="17"/>
              </w:rPr>
              <w:t xml:space="preserve">URS-09</w:t>
            </w:r>
          </w:p>
          <w:p>
            <w:pPr>
              <w:spacing w:after="0"/>
            </w:pPr>
            <w:r>
              <w:rPr>
                <w:b/>
                <w:bCs/>
                <w:color w:val="DC2626"/>
                <w:sz w:val="15"/>
                <w:szCs w:val="15"/>
              </w:rPr>
              <w:t xml:space="preserve">Haut</w:t>
            </w:r>
          </w:p>
        </w:tc>
        <w:tc>
          <w:tcPr>
            <w:tcW w:type="pct" w:w="41%"/>
            <w:tcMar>
              <w:top w:type="dxa" w:w="80"/>
              <w:left w:type="dxa" w:w="110"/>
              <w:bottom w:type="dxa" w:w="80"/>
              <w:right w:type="dxa" w:w="110"/>
            </w:tcMar>
          </w:tcPr>
          <w:p>
            <w:pPr>
              <w:spacing w:after="0"/>
            </w:pPr>
            <w:r>
              <w:rPr>
                <w:sz w:val="17"/>
                <w:szCs w:val="17"/>
              </w:rPr>
              <w:t xml:space="preserve">La mise en revue d'un document GÈLE son contenu : l'empreinte du contenu projeté est calculée et le fichier produit est conservé octet pour octet.</w:t>
            </w:r>
          </w:p>
        </w:tc>
        <w:tc>
          <w:tcPr>
            <w:tcW w:type="pct" w:w="28%"/>
            <w:tcMar>
              <w:top w:type="dxa" w:w="80"/>
              <w:left w:type="dxa" w:w="110"/>
              <w:bottom w:type="dxa" w:w="80"/>
              <w:right w:type="dxa" w:w="110"/>
            </w:tcMar>
          </w:tcPr>
          <w:p>
            <w:pPr>
              <w:spacing w:after="0"/>
            </w:pPr>
            <w:r>
              <w:rPr>
                <w:sz w:val="17"/>
                <w:szCs w:val="17"/>
              </w:rPr>
              <w:t xml:space="preserve">Un document projeté depuis un graphe n'est un enregistrement que si l'on peut dire de quel contenu il s'agit.</w:t>
            </w:r>
          </w:p>
        </w:tc>
        <w:tc>
          <w:tcPr>
            <w:tcW w:type="pct" w:w="20%"/>
            <w:tcMar>
              <w:top w:type="dxa" w:w="80"/>
              <w:left w:type="dxa" w:w="110"/>
              <w:bottom w:type="dxa" w:w="80"/>
              <w:right w:type="dxa" w:w="110"/>
            </w:tcMar>
          </w:tcPr>
          <w:p>
            <w:pPr>
              <w:spacing w:after="0"/>
            </w:pPr>
            <w:r>
              <w:rPr>
                <w:sz w:val="17"/>
                <w:szCs w:val="17"/>
              </w:rPr>
              <w:t xml:space="preserve">21 CFR 11.10(b) · 21 CFR 11.10(c)</w:t>
            </w:r>
          </w:p>
        </w:tc>
      </w:tr>
      <w:tr>
        <w:tc>
          <w:tcPr>
            <w:tcW w:type="pct" w:w="11%"/>
            <w:shd w:fill="F8FAFC"/>
            <w:tcMar>
              <w:top w:type="dxa" w:w="80"/>
              <w:left w:type="dxa" w:w="110"/>
              <w:bottom w:type="dxa" w:w="80"/>
              <w:right w:type="dxa" w:w="110"/>
            </w:tcMar>
          </w:tcPr>
          <w:p>
            <w:pPr>
              <w:spacing w:after="60"/>
            </w:pPr>
            <w:r>
              <w:rPr>
                <w:b/>
                <w:bCs/>
                <w:color w:val="4338CA"/>
                <w:sz w:val="17"/>
                <w:szCs w:val="17"/>
              </w:rPr>
              <w:t xml:space="preserve">URS-10</w:t>
            </w:r>
          </w:p>
          <w:p>
            <w:pPr>
              <w:spacing w:after="0"/>
            </w:pPr>
            <w:r>
              <w:rPr>
                <w:b/>
                <w:bCs/>
                <w:color w:val="DC2626"/>
                <w:sz w:val="15"/>
                <w:szCs w:val="15"/>
              </w:rPr>
              <w:t xml:space="preserve">Haut</w:t>
            </w:r>
          </w:p>
        </w:tc>
        <w:tc>
          <w:tcPr>
            <w:tcW w:type="pct" w:w="41%"/>
            <w:tcMar>
              <w:top w:type="dxa" w:w="80"/>
              <w:left w:type="dxa" w:w="110"/>
              <w:bottom w:type="dxa" w:w="80"/>
              <w:right w:type="dxa" w:w="110"/>
            </w:tcMar>
          </w:tcPr>
          <w:p>
            <w:pPr>
              <w:spacing w:after="0"/>
            </w:pPr>
            <w:r>
              <w:rPr>
                <w:sz w:val="17"/>
                <w:szCs w:val="17"/>
              </w:rPr>
              <w:t xml:space="preserve">Le téléchargement d'un document gelé sert les octets conservés, jamais une régénération, et refuse le fichier dont l'empreinte ne correspond plus.</w:t>
            </w:r>
          </w:p>
        </w:tc>
        <w:tc>
          <w:tcPr>
            <w:tcW w:type="pct" w:w="28%"/>
            <w:tcMar>
              <w:top w:type="dxa" w:w="80"/>
              <w:left w:type="dxa" w:w="110"/>
              <w:bottom w:type="dxa" w:w="80"/>
              <w:right w:type="dxa" w:w="110"/>
            </w:tcMar>
          </w:tcPr>
          <w:p>
            <w:pPr>
              <w:spacing w:after="0"/>
            </w:pPr>
            <w:r>
              <w:rPr>
                <w:sz w:val="17"/>
                <w:szCs w:val="17"/>
              </w:rPr>
              <w:t xml:space="preserve">Servir une régénération à la place de l'enregistrement approuvé revient à remettre à l'inspecteur un document que personne n'a signé.</w:t>
            </w:r>
          </w:p>
        </w:tc>
        <w:tc>
          <w:tcPr>
            <w:tcW w:type="pct" w:w="20%"/>
            <w:tcMar>
              <w:top w:type="dxa" w:w="80"/>
              <w:left w:type="dxa" w:w="110"/>
              <w:bottom w:type="dxa" w:w="80"/>
              <w:right w:type="dxa" w:w="110"/>
            </w:tcMar>
          </w:tcPr>
          <w:p>
            <w:pPr>
              <w:spacing w:after="0"/>
            </w:pPr>
            <w:r>
              <w:rPr>
                <w:sz w:val="17"/>
                <w:szCs w:val="17"/>
              </w:rPr>
              <w:t xml:space="preserve">21 CFR 11.10(b)</w:t>
            </w:r>
          </w:p>
        </w:tc>
      </w:tr>
      <w:tr>
        <w:tc>
          <w:tcPr>
            <w:tcW w:type="pct" w:w="11%"/>
            <w:shd w:fill="F8FAFC"/>
            <w:tcMar>
              <w:top w:type="dxa" w:w="80"/>
              <w:left w:type="dxa" w:w="110"/>
              <w:bottom w:type="dxa" w:w="80"/>
              <w:right w:type="dxa" w:w="110"/>
            </w:tcMar>
          </w:tcPr>
          <w:p>
            <w:pPr>
              <w:spacing w:after="60"/>
            </w:pPr>
            <w:r>
              <w:rPr>
                <w:b/>
                <w:bCs/>
                <w:color w:val="4338CA"/>
                <w:sz w:val="17"/>
                <w:szCs w:val="17"/>
              </w:rPr>
              <w:t xml:space="preserve">URS-11</w:t>
            </w:r>
          </w:p>
          <w:p>
            <w:pPr>
              <w:spacing w:after="0"/>
            </w:pPr>
            <w:r>
              <w:rPr>
                <w:b/>
                <w:bCs/>
                <w:color w:val="DC2626"/>
                <w:sz w:val="15"/>
                <w:szCs w:val="15"/>
              </w:rPr>
              <w:t xml:space="preserve">Haut</w:t>
            </w:r>
          </w:p>
        </w:tc>
        <w:tc>
          <w:tcPr>
            <w:tcW w:type="pct" w:w="41%"/>
            <w:tcMar>
              <w:top w:type="dxa" w:w="80"/>
              <w:left w:type="dxa" w:w="110"/>
              <w:bottom w:type="dxa" w:w="80"/>
              <w:right w:type="dxa" w:w="110"/>
            </w:tcMar>
          </w:tcPr>
          <w:p>
            <w:pPr>
              <w:spacing w:after="0"/>
            </w:pPr>
            <w:r>
              <w:rPr>
                <w:sz w:val="17"/>
                <w:szCs w:val="17"/>
              </w:rPr>
              <w:t xml:space="preserve">La publication est refusée si le contenu a changé depuis le gel, et l'écart est inscrit dans la piste d'audit avec les deux empreintes.</w:t>
            </w:r>
          </w:p>
        </w:tc>
        <w:tc>
          <w:tcPr>
            <w:tcW w:type="pct" w:w="28%"/>
            <w:tcMar>
              <w:top w:type="dxa" w:w="80"/>
              <w:left w:type="dxa" w:w="110"/>
              <w:bottom w:type="dxa" w:w="80"/>
              <w:right w:type="dxa" w:w="110"/>
            </w:tcMar>
          </w:tcPr>
          <w:p>
            <w:pPr>
              <w:spacing w:after="0"/>
            </w:pPr>
            <w:r>
              <w:rPr>
                <w:sz w:val="17"/>
                <w:szCs w:val="17"/>
              </w:rPr>
              <w:t xml:space="preserve">Publier un contenu différent de celui qui a été signé produirait un enregistrement approuvé que personne n'a réellement approuvé.</w:t>
            </w:r>
          </w:p>
        </w:tc>
        <w:tc>
          <w:tcPr>
            <w:tcW w:type="pct" w:w="20%"/>
            <w:tcMar>
              <w:top w:type="dxa" w:w="80"/>
              <w:left w:type="dxa" w:w="110"/>
              <w:bottom w:type="dxa" w:w="80"/>
              <w:right w:type="dxa" w:w="110"/>
            </w:tcMar>
          </w:tcPr>
          <w:p>
            <w:pPr>
              <w:spacing w:after="0"/>
            </w:pPr>
            <w:r>
              <w:rPr>
                <w:sz w:val="17"/>
                <w:szCs w:val="17"/>
              </w:rPr>
              <w:t xml:space="preserve">21 CFR 11.10(a) · 21 CFR 11.70</w:t>
            </w:r>
          </w:p>
        </w:tc>
      </w:tr>
      <w:tr>
        <w:tc>
          <w:tcPr>
            <w:tcW w:type="pct" w:w="11%"/>
            <w:shd w:fill="F8FAFC"/>
            <w:tcMar>
              <w:top w:type="dxa" w:w="80"/>
              <w:left w:type="dxa" w:w="110"/>
              <w:bottom w:type="dxa" w:w="80"/>
              <w:right w:type="dxa" w:w="110"/>
            </w:tcMar>
          </w:tcPr>
          <w:p>
            <w:pPr>
              <w:spacing w:after="60"/>
            </w:pPr>
            <w:r>
              <w:rPr>
                <w:b/>
                <w:bCs/>
                <w:color w:val="4338CA"/>
                <w:sz w:val="17"/>
                <w:szCs w:val="17"/>
              </w:rPr>
              <w:t xml:space="preserve">URS-12</w:t>
            </w:r>
          </w:p>
          <w:p>
            <w:pPr>
              <w:spacing w:after="0"/>
            </w:pPr>
            <w:r>
              <w:rPr>
                <w:b/>
                <w:bCs/>
                <w:color w:val="DC2626"/>
                <w:sz w:val="15"/>
                <w:szCs w:val="15"/>
              </w:rPr>
              <w:t xml:space="preserve">Haut</w:t>
            </w:r>
          </w:p>
        </w:tc>
        <w:tc>
          <w:tcPr>
            <w:tcW w:type="pct" w:w="41%"/>
            <w:tcMar>
              <w:top w:type="dxa" w:w="80"/>
              <w:left w:type="dxa" w:w="110"/>
              <w:bottom w:type="dxa" w:w="80"/>
              <w:right w:type="dxa" w:w="110"/>
            </w:tcMar>
          </w:tcPr>
          <w:p>
            <w:pPr>
              <w:spacing w:after="0"/>
            </w:pPr>
            <w:r>
              <w:rPr>
                <w:sz w:val="17"/>
                <w:szCs w:val="17"/>
              </w:rPr>
              <w:t xml:space="preserve">Toute reprise du contenu — retour en brouillon ou nouvelle révision — invalide l'intégralité des signatures apposées et efface ce qui décrivait le geste.</w:t>
            </w:r>
          </w:p>
        </w:tc>
        <w:tc>
          <w:tcPr>
            <w:tcW w:type="pct" w:w="28%"/>
            <w:tcMar>
              <w:top w:type="dxa" w:w="80"/>
              <w:left w:type="dxa" w:w="110"/>
              <w:bottom w:type="dxa" w:w="80"/>
              <w:right w:type="dxa" w:w="110"/>
            </w:tcMar>
          </w:tcPr>
          <w:p>
            <w:pPr>
              <w:spacing w:after="0"/>
            </w:pPr>
            <w:r>
              <w:rPr>
                <w:sz w:val="17"/>
                <w:szCs w:val="17"/>
              </w:rPr>
              <w:t xml:space="preserve">Une signature qui survit à une modification du contenu atteste d'un état qui n'existe plus.</w:t>
            </w:r>
          </w:p>
        </w:tc>
        <w:tc>
          <w:tcPr>
            <w:tcW w:type="pct" w:w="20%"/>
            <w:tcMar>
              <w:top w:type="dxa" w:w="80"/>
              <w:left w:type="dxa" w:w="110"/>
              <w:bottom w:type="dxa" w:w="80"/>
              <w:right w:type="dxa" w:w="110"/>
            </w:tcMar>
          </w:tcPr>
          <w:p>
            <w:pPr>
              <w:spacing w:after="0"/>
            </w:pPr>
            <w:r>
              <w:rPr>
                <w:sz w:val="17"/>
                <w:szCs w:val="17"/>
              </w:rPr>
              <w:t xml:space="preserve">21 CFR 11.70 · ISO 13485 §7.3.9</w:t>
            </w:r>
          </w:p>
        </w:tc>
      </w:tr>
      <w:tr>
        <w:tc>
          <w:tcPr>
            <w:tcW w:type="pct" w:w="11%"/>
            <w:shd w:fill="F8FAFC"/>
            <w:tcMar>
              <w:top w:type="dxa" w:w="80"/>
              <w:left w:type="dxa" w:w="110"/>
              <w:bottom w:type="dxa" w:w="80"/>
              <w:right w:type="dxa" w:w="110"/>
            </w:tcMar>
          </w:tcPr>
          <w:p>
            <w:pPr>
              <w:spacing w:after="60"/>
            </w:pPr>
            <w:r>
              <w:rPr>
                <w:b/>
                <w:bCs/>
                <w:color w:val="4338CA"/>
                <w:sz w:val="17"/>
                <w:szCs w:val="17"/>
              </w:rPr>
              <w:t xml:space="preserve">URS-13</w:t>
            </w:r>
          </w:p>
          <w:p>
            <w:pPr>
              <w:spacing w:after="0"/>
            </w:pPr>
            <w:r>
              <w:rPr>
                <w:b/>
                <w:bCs/>
                <w:color w:val="B45309"/>
                <w:sz w:val="15"/>
                <w:szCs w:val="15"/>
              </w:rPr>
              <w:t xml:space="preserve">Moyen</w:t>
            </w:r>
          </w:p>
        </w:tc>
        <w:tc>
          <w:tcPr>
            <w:tcW w:type="pct" w:w="41%"/>
            <w:tcMar>
              <w:top w:type="dxa" w:w="80"/>
              <w:left w:type="dxa" w:w="110"/>
              <w:bottom w:type="dxa" w:w="80"/>
              <w:right w:type="dxa" w:w="110"/>
            </w:tcMar>
          </w:tcPr>
          <w:p>
            <w:pPr>
              <w:spacing w:after="0"/>
            </w:pPr>
            <w:r>
              <w:rPr>
                <w:sz w:val="17"/>
                <w:szCs w:val="17"/>
              </w:rPr>
              <w:t xml:space="preserve">La publication est verrouillée : au moins une signature apposée, aucune approbation en attente, aucun fil de revue ouvert.</w:t>
            </w:r>
          </w:p>
        </w:tc>
        <w:tc>
          <w:tcPr>
            <w:tcW w:type="pct" w:w="28%"/>
            <w:tcMar>
              <w:top w:type="dxa" w:w="80"/>
              <w:left w:type="dxa" w:w="110"/>
              <w:bottom w:type="dxa" w:w="80"/>
              <w:right w:type="dxa" w:w="110"/>
            </w:tcMar>
          </w:tcPr>
          <w:p>
            <w:pPr>
              <w:spacing w:after="0"/>
            </w:pPr>
            <w:r>
              <w:rPr>
                <w:sz w:val="17"/>
                <w:szCs w:val="17"/>
              </w:rPr>
              <w:t xml:space="preserve">Un document publié sans signature contredirait le processus de maîtrise documentaire, sans toutefois altérer un enregistrement existant.</w:t>
            </w:r>
          </w:p>
        </w:tc>
        <w:tc>
          <w:tcPr>
            <w:tcW w:type="pct" w:w="20%"/>
            <w:tcMar>
              <w:top w:type="dxa" w:w="80"/>
              <w:left w:type="dxa" w:w="110"/>
              <w:bottom w:type="dxa" w:w="80"/>
              <w:right w:type="dxa" w:w="110"/>
            </w:tcMar>
          </w:tcPr>
          <w:p>
            <w:pPr>
              <w:spacing w:after="0"/>
            </w:pPr>
            <w:r>
              <w:rPr>
                <w:sz w:val="17"/>
                <w:szCs w:val="17"/>
              </w:rPr>
              <w:t xml:space="preserve">ISO 13485 §4.2.4 · ISO 13485 §7.3.5</w:t>
            </w:r>
          </w:p>
        </w:tc>
      </w:tr>
      <w:tr>
        <w:tc>
          <w:tcPr>
            <w:tcW w:type="pct" w:w="11%"/>
            <w:shd w:fill="F8FAFC"/>
            <w:tcMar>
              <w:top w:type="dxa" w:w="80"/>
              <w:left w:type="dxa" w:w="110"/>
              <w:bottom w:type="dxa" w:w="80"/>
              <w:right w:type="dxa" w:w="110"/>
            </w:tcMar>
          </w:tcPr>
          <w:p>
            <w:pPr>
              <w:spacing w:after="60"/>
            </w:pPr>
            <w:r>
              <w:rPr>
                <w:b/>
                <w:bCs/>
                <w:color w:val="4338CA"/>
                <w:sz w:val="17"/>
                <w:szCs w:val="17"/>
              </w:rPr>
              <w:t xml:space="preserve">URS-14</w:t>
            </w:r>
          </w:p>
          <w:p>
            <w:pPr>
              <w:spacing w:after="0"/>
            </w:pPr>
            <w:r>
              <w:rPr>
                <w:b/>
                <w:bCs/>
                <w:color w:val="B45309"/>
                <w:sz w:val="15"/>
                <w:szCs w:val="15"/>
              </w:rPr>
              <w:t xml:space="preserve">Moyen</w:t>
            </w:r>
          </w:p>
        </w:tc>
        <w:tc>
          <w:tcPr>
            <w:tcW w:type="pct" w:w="41%"/>
            <w:tcMar>
              <w:top w:type="dxa" w:w="80"/>
              <w:left w:type="dxa" w:w="110"/>
              <w:bottom w:type="dxa" w:w="80"/>
              <w:right w:type="dxa" w:w="110"/>
            </w:tcMar>
          </w:tcPr>
          <w:p>
            <w:pPr>
              <w:spacing w:after="0"/>
            </w:pPr>
            <w:r>
              <w:rPr>
                <w:sz w:val="17"/>
                <w:szCs w:val="17"/>
              </w:rPr>
              <w:t xml:space="preserve">Les gels de contenu sont en ajout seul : un gel dépassé est marqué comme tel et reste consultable et téléchargeable.</w:t>
            </w:r>
          </w:p>
        </w:tc>
        <w:tc>
          <w:tcPr>
            <w:tcW w:type="pct" w:w="28%"/>
            <w:tcMar>
              <w:top w:type="dxa" w:w="80"/>
              <w:left w:type="dxa" w:w="110"/>
              <w:bottom w:type="dxa" w:w="80"/>
              <w:right w:type="dxa" w:w="110"/>
            </w:tcMar>
          </w:tcPr>
          <w:p>
            <w:pPr>
              <w:spacing w:after="0"/>
            </w:pPr>
            <w:r>
              <w:rPr>
                <w:sz w:val="17"/>
                <w:szCs w:val="17"/>
              </w:rPr>
              <w:t xml:space="preserve">L'enregistrement approuvé d'une révision antérieure doit rester disponible pendant toute la durée de rétention.</w:t>
            </w:r>
          </w:p>
        </w:tc>
        <w:tc>
          <w:tcPr>
            <w:tcW w:type="pct" w:w="20%"/>
            <w:tcMar>
              <w:top w:type="dxa" w:w="80"/>
              <w:left w:type="dxa" w:w="110"/>
              <w:bottom w:type="dxa" w:w="80"/>
              <w:right w:type="dxa" w:w="110"/>
            </w:tcMar>
          </w:tcPr>
          <w:p>
            <w:pPr>
              <w:spacing w:after="0"/>
            </w:pPr>
            <w:r>
              <w:rPr>
                <w:sz w:val="17"/>
                <w:szCs w:val="17"/>
              </w:rPr>
              <w:t xml:space="preserve">21 CFR 11.10(c)</w:t>
            </w:r>
          </w:p>
        </w:tc>
      </w:tr>
      <w:tr>
        <w:tc>
          <w:tcPr>
            <w:tcW w:type="pct" w:w="11%"/>
            <w:shd w:fill="F8FAFC"/>
            <w:tcMar>
              <w:top w:type="dxa" w:w="80"/>
              <w:left w:type="dxa" w:w="110"/>
              <w:bottom w:type="dxa" w:w="80"/>
              <w:right w:type="dxa" w:w="110"/>
            </w:tcMar>
          </w:tcPr>
          <w:p>
            <w:pPr>
              <w:spacing w:after="60"/>
            </w:pPr>
            <w:r>
              <w:rPr>
                <w:b/>
                <w:bCs/>
                <w:color w:val="4338CA"/>
                <w:sz w:val="17"/>
                <w:szCs w:val="17"/>
              </w:rPr>
              <w:t xml:space="preserve">URS-15</w:t>
            </w:r>
          </w:p>
          <w:p>
            <w:pPr>
              <w:spacing w:after="0"/>
            </w:pPr>
            <w:r>
              <w:rPr>
                <w:b/>
                <w:bCs/>
                <w:color w:val="DC2626"/>
                <w:sz w:val="15"/>
                <w:szCs w:val="15"/>
              </w:rPr>
              <w:t xml:space="preserve">Haut</w:t>
            </w:r>
          </w:p>
        </w:tc>
        <w:tc>
          <w:tcPr>
            <w:tcW w:type="pct" w:w="41%"/>
            <w:tcMar>
              <w:top w:type="dxa" w:w="80"/>
              <w:left w:type="dxa" w:w="110"/>
              <w:bottom w:type="dxa" w:w="80"/>
              <w:right w:type="dxa" w:w="110"/>
            </w:tcMar>
          </w:tcPr>
          <w:p>
            <w:pPr>
              <w:spacing w:after="0"/>
            </w:pPr>
            <w:r>
              <w:rPr>
                <w:sz w:val="17"/>
                <w:szCs w:val="17"/>
              </w:rPr>
              <w:t xml:space="preserve">Le moteur de calcul de performance analytique restitue, sur les exemples travaillés des protocoles CLSI EP05, EP06, EP09, EP17, EP25 et EP26, les valeurs publiées par ces protocoles.</w:t>
            </w:r>
          </w:p>
        </w:tc>
        <w:tc>
          <w:tcPr>
            <w:tcW w:type="pct" w:w="28%"/>
            <w:tcMar>
              <w:top w:type="dxa" w:w="80"/>
              <w:left w:type="dxa" w:w="110"/>
              <w:bottom w:type="dxa" w:w="80"/>
              <w:right w:type="dxa" w:w="110"/>
            </w:tcMar>
          </w:tcPr>
          <w:p>
            <w:pPr>
              <w:spacing w:after="0"/>
            </w:pPr>
            <w:r>
              <w:rPr>
                <w:sz w:val="17"/>
                <w:szCs w:val="17"/>
              </w:rPr>
              <w:t xml:space="preserve">Un calcul faux produirait une conclusion de conformité fausse sur une performance analytique revendiquée au dossier de marquage.</w:t>
            </w:r>
          </w:p>
        </w:tc>
        <w:tc>
          <w:tcPr>
            <w:tcW w:type="pct" w:w="20%"/>
            <w:tcMar>
              <w:top w:type="dxa" w:w="80"/>
              <w:left w:type="dxa" w:w="110"/>
              <w:bottom w:type="dxa" w:w="80"/>
              <w:right w:type="dxa" w:w="110"/>
            </w:tcMar>
          </w:tcPr>
          <w:p>
            <w:pPr>
              <w:spacing w:after="0"/>
            </w:pPr>
            <w:r>
              <w:rPr>
                <w:sz w:val="17"/>
                <w:szCs w:val="17"/>
              </w:rPr>
              <w:t xml:space="preserve">ISO 13485 §7.3.6 · IVDR annexe I §9</w:t>
            </w:r>
          </w:p>
        </w:tc>
      </w:tr>
      <w:tr>
        <w:tc>
          <w:tcPr>
            <w:tcW w:type="pct" w:w="11%"/>
            <w:shd w:fill="F8FAFC"/>
            <w:tcMar>
              <w:top w:type="dxa" w:w="80"/>
              <w:left w:type="dxa" w:w="110"/>
              <w:bottom w:type="dxa" w:w="80"/>
              <w:right w:type="dxa" w:w="110"/>
            </w:tcMar>
          </w:tcPr>
          <w:p>
            <w:pPr>
              <w:spacing w:after="60"/>
            </w:pPr>
            <w:r>
              <w:rPr>
                <w:b/>
                <w:bCs/>
                <w:color w:val="4338CA"/>
                <w:sz w:val="17"/>
                <w:szCs w:val="17"/>
              </w:rPr>
              <w:t xml:space="preserve">URS-16</w:t>
            </w:r>
          </w:p>
          <w:p>
            <w:pPr>
              <w:spacing w:after="0"/>
            </w:pPr>
            <w:r>
              <w:rPr>
                <w:b/>
                <w:bCs/>
                <w:color w:val="B45309"/>
                <w:sz w:val="15"/>
                <w:szCs w:val="15"/>
              </w:rPr>
              <w:t xml:space="preserve">Moyen</w:t>
            </w:r>
          </w:p>
        </w:tc>
        <w:tc>
          <w:tcPr>
            <w:tcW w:type="pct" w:w="41%"/>
            <w:tcMar>
              <w:top w:type="dxa" w:w="80"/>
              <w:left w:type="dxa" w:w="110"/>
              <w:bottom w:type="dxa" w:w="80"/>
              <w:right w:type="dxa" w:w="110"/>
            </w:tcMar>
          </w:tcPr>
          <w:p>
            <w:pPr>
              <w:spacing w:after="0"/>
            </w:pPr>
            <w:r>
              <w:rPr>
                <w:sz w:val="17"/>
                <w:szCs w:val="17"/>
              </w:rPr>
              <w:t xml:space="preserve">Les caractères de contrôle interdits par la spécification XML sont neutralisés à la saisie, de sorte qu'aucune donnée reprise d'un outil tiers ne rende illisible un enregistrement généré.</w:t>
            </w:r>
          </w:p>
        </w:tc>
        <w:tc>
          <w:tcPr>
            <w:tcW w:type="pct" w:w="28%"/>
            <w:tcMar>
              <w:top w:type="dxa" w:w="80"/>
              <w:left w:type="dxa" w:w="110"/>
              <w:bottom w:type="dxa" w:w="80"/>
              <w:right w:type="dxa" w:w="110"/>
            </w:tcMar>
          </w:tcPr>
          <w:p>
            <w:pPr>
              <w:spacing w:after="0"/>
            </w:pPr>
            <w:r>
              <w:rPr>
                <w:sz w:val="17"/>
                <w:szCs w:val="17"/>
              </w:rPr>
              <w:t xml:space="preserve">Un enregistrement corrompu est un enregistrement perdu : la donnée existe en base mais la copie lisible ne s'ouvre plus.</w:t>
            </w:r>
          </w:p>
        </w:tc>
        <w:tc>
          <w:tcPr>
            <w:tcW w:type="pct" w:w="20%"/>
            <w:tcMar>
              <w:top w:type="dxa" w:w="80"/>
              <w:left w:type="dxa" w:w="110"/>
              <w:bottom w:type="dxa" w:w="80"/>
              <w:right w:type="dxa" w:w="110"/>
            </w:tcMar>
          </w:tcPr>
          <w:p>
            <w:pPr>
              <w:spacing w:after="0"/>
            </w:pPr>
            <w:r>
              <w:rPr>
                <w:sz w:val="17"/>
                <w:szCs w:val="17"/>
              </w:rPr>
              <w:t xml:space="preserve">21 CFR 11.10(b)</w:t>
            </w:r>
          </w:p>
        </w:tc>
      </w:tr>
      <w:tr>
        <w:tc>
          <w:tcPr>
            <w:tcW w:type="pct" w:w="11%"/>
            <w:shd w:fill="F8FAFC"/>
            <w:tcMar>
              <w:top w:type="dxa" w:w="80"/>
              <w:left w:type="dxa" w:w="110"/>
              <w:bottom w:type="dxa" w:w="80"/>
              <w:right w:type="dxa" w:w="110"/>
            </w:tcMar>
          </w:tcPr>
          <w:p>
            <w:pPr>
              <w:spacing w:after="60"/>
            </w:pPr>
            <w:r>
              <w:rPr>
                <w:b/>
                <w:bCs/>
                <w:color w:val="4338CA"/>
                <w:sz w:val="17"/>
                <w:szCs w:val="17"/>
              </w:rPr>
              <w:t xml:space="preserve">URS-17</w:t>
            </w:r>
          </w:p>
          <w:p>
            <w:pPr>
              <w:spacing w:after="0"/>
            </w:pPr>
            <w:r>
              <w:rPr>
                <w:b/>
                <w:bCs/>
                <w:color w:val="B45309"/>
                <w:sz w:val="15"/>
                <w:szCs w:val="15"/>
              </w:rPr>
              <w:t xml:space="preserve">Moyen</w:t>
            </w:r>
          </w:p>
        </w:tc>
        <w:tc>
          <w:tcPr>
            <w:tcW w:type="pct" w:w="41%"/>
            <w:tcMar>
              <w:top w:type="dxa" w:w="80"/>
              <w:left w:type="dxa" w:w="110"/>
              <w:bottom w:type="dxa" w:w="80"/>
              <w:right w:type="dxa" w:w="110"/>
            </w:tcMar>
          </w:tcPr>
          <w:p>
            <w:pPr>
              <w:spacing w:after="0"/>
            </w:pPr>
            <w:r>
              <w:rPr>
                <w:sz w:val="17"/>
                <w:szCs w:val="17"/>
              </w:rPr>
              <w:t xml:space="preserve">La reprise de données par fichier tabulé neutralise les amorces de formule et préserve les cellules multi-lignes entre guillemets.</w:t>
            </w:r>
          </w:p>
        </w:tc>
        <w:tc>
          <w:tcPr>
            <w:tcW w:type="pct" w:w="28%"/>
            <w:tcMar>
              <w:top w:type="dxa" w:w="80"/>
              <w:left w:type="dxa" w:w="110"/>
              <w:bottom w:type="dxa" w:w="80"/>
              <w:right w:type="dxa" w:w="110"/>
            </w:tcMar>
          </w:tcPr>
          <w:p>
            <w:pPr>
              <w:spacing w:after="0"/>
            </w:pPr>
            <w:r>
              <w:rPr>
                <w:sz w:val="17"/>
                <w:szCs w:val="17"/>
              </w:rPr>
              <w:t xml:space="preserve">Une valeur interprétée comme formule par le tableur affiche une erreur là où l'écran affiche la donnée juste — l'écart se découvre en audit.</w:t>
            </w:r>
          </w:p>
        </w:tc>
        <w:tc>
          <w:tcPr>
            <w:tcW w:type="pct" w:w="20%"/>
            <w:tcMar>
              <w:top w:type="dxa" w:w="80"/>
              <w:left w:type="dxa" w:w="110"/>
              <w:bottom w:type="dxa" w:w="80"/>
              <w:right w:type="dxa" w:w="110"/>
            </w:tcMar>
          </w:tcPr>
          <w:p>
            <w:pPr>
              <w:spacing w:after="0"/>
            </w:pPr>
            <w:r>
              <w:rPr>
                <w:sz w:val="17"/>
                <w:szCs w:val="17"/>
              </w:rPr>
              <w:t xml:space="preserve">21 CFR 11.10(b) · ISO 13485 §4.2.5</w:t>
            </w:r>
          </w:p>
        </w:tc>
      </w:tr>
      <w:tr>
        <w:tc>
          <w:tcPr>
            <w:tcW w:type="pct" w:w="11%"/>
            <w:shd w:fill="F8FAFC"/>
            <w:tcMar>
              <w:top w:type="dxa" w:w="80"/>
              <w:left w:type="dxa" w:w="110"/>
              <w:bottom w:type="dxa" w:w="80"/>
              <w:right w:type="dxa" w:w="110"/>
            </w:tcMar>
          </w:tcPr>
          <w:p>
            <w:pPr>
              <w:spacing w:after="60"/>
            </w:pPr>
            <w:r>
              <w:rPr>
                <w:b/>
                <w:bCs/>
                <w:color w:val="4338CA"/>
                <w:sz w:val="17"/>
                <w:szCs w:val="17"/>
              </w:rPr>
              <w:t xml:space="preserve">URS-18</w:t>
            </w:r>
          </w:p>
          <w:p>
            <w:pPr>
              <w:spacing w:after="0"/>
            </w:pPr>
            <w:r>
              <w:rPr>
                <w:b/>
                <w:bCs/>
                <w:color w:val="DC2626"/>
                <w:sz w:val="15"/>
                <w:szCs w:val="15"/>
              </w:rPr>
              <w:t xml:space="preserve">Haut</w:t>
            </w:r>
          </w:p>
        </w:tc>
        <w:tc>
          <w:tcPr>
            <w:tcW w:type="pct" w:w="41%"/>
            <w:tcMar>
              <w:top w:type="dxa" w:w="80"/>
              <w:left w:type="dxa" w:w="110"/>
              <w:bottom w:type="dxa" w:w="80"/>
              <w:right w:type="dxa" w:w="110"/>
            </w:tcMar>
          </w:tcPr>
          <w:p>
            <w:pPr>
              <w:spacing w:after="0"/>
            </w:pPr>
            <w:r>
              <w:rPr>
                <w:sz w:val="17"/>
                <w:szCs w:val="17"/>
              </w:rPr>
              <w:t xml:space="preserve">L'empreinte de contenu est déterministe : un même contenu projeté produit toujours la même empreinte, et toute modification du contenu la change.</w:t>
            </w:r>
          </w:p>
        </w:tc>
        <w:tc>
          <w:tcPr>
            <w:tcW w:type="pct" w:w="28%"/>
            <w:tcMar>
              <w:top w:type="dxa" w:w="80"/>
              <w:left w:type="dxa" w:w="110"/>
              <w:bottom w:type="dxa" w:w="80"/>
              <w:right w:type="dxa" w:w="110"/>
            </w:tcMar>
          </w:tcPr>
          <w:p>
            <w:pPr>
              <w:spacing w:after="0"/>
            </w:pPr>
            <w:r>
              <w:rPr>
                <w:sz w:val="17"/>
                <w:szCs w:val="17"/>
              </w:rPr>
              <w:t xml:space="preserve">Une empreinte instable produirait de faux refus de publication ; une empreinte insensible laisserait passer une dérive réelle.</w:t>
            </w:r>
          </w:p>
        </w:tc>
        <w:tc>
          <w:tcPr>
            <w:tcW w:type="pct" w:w="20%"/>
            <w:tcMar>
              <w:top w:type="dxa" w:w="80"/>
              <w:left w:type="dxa" w:w="110"/>
              <w:bottom w:type="dxa" w:w="80"/>
              <w:right w:type="dxa" w:w="110"/>
            </w:tcMar>
          </w:tcPr>
          <w:p>
            <w:pPr>
              <w:spacing w:after="0"/>
            </w:pPr>
            <w:r>
              <w:rPr>
                <w:sz w:val="17"/>
                <w:szCs w:val="17"/>
              </w:rPr>
              <w:t xml:space="preserve">21 CFR 11.10(a) · 21 CFR 11.70</w:t>
            </w:r>
          </w:p>
        </w:tc>
      </w:tr>
      <w:tr>
        <w:tc>
          <w:tcPr>
            <w:tcW w:type="pct" w:w="11%"/>
            <w:shd w:fill="F8FAFC"/>
            <w:tcMar>
              <w:top w:type="dxa" w:w="80"/>
              <w:left w:type="dxa" w:w="110"/>
              <w:bottom w:type="dxa" w:w="80"/>
              <w:right w:type="dxa" w:w="110"/>
            </w:tcMar>
          </w:tcPr>
          <w:p>
            <w:pPr>
              <w:spacing w:after="60"/>
            </w:pPr>
            <w:r>
              <w:rPr>
                <w:b/>
                <w:bCs/>
                <w:color w:val="4338CA"/>
                <w:sz w:val="17"/>
                <w:szCs w:val="17"/>
              </w:rPr>
              <w:t xml:space="preserve">URS-19</w:t>
            </w:r>
          </w:p>
          <w:p>
            <w:pPr>
              <w:spacing w:after="0"/>
            </w:pPr>
            <w:r>
              <w:rPr>
                <w:b/>
                <w:bCs/>
                <w:color w:val="B45309"/>
                <w:sz w:val="15"/>
                <w:szCs w:val="15"/>
              </w:rPr>
              <w:t xml:space="preserve">Moyen</w:t>
            </w:r>
          </w:p>
        </w:tc>
        <w:tc>
          <w:tcPr>
            <w:tcW w:type="pct" w:w="41%"/>
            <w:tcMar>
              <w:top w:type="dxa" w:w="80"/>
              <w:left w:type="dxa" w:w="110"/>
              <w:bottom w:type="dxa" w:w="80"/>
              <w:right w:type="dxa" w:w="110"/>
            </w:tcMar>
          </w:tcPr>
          <w:p>
            <w:pPr>
              <w:spacing w:after="0"/>
            </w:pPr>
            <w:r>
              <w:rPr>
                <w:sz w:val="17"/>
                <w:szCs w:val="17"/>
              </w:rPr>
              <w:t xml:space="preserve">Deux personnes modifiant simultanément le même élément ne s'écrasent pas en silence : la seconde écriture est refusée et la saisie conservée.</w:t>
            </w:r>
          </w:p>
        </w:tc>
        <w:tc>
          <w:tcPr>
            <w:tcW w:type="pct" w:w="28%"/>
            <w:tcMar>
              <w:top w:type="dxa" w:w="80"/>
              <w:left w:type="dxa" w:w="110"/>
              <w:bottom w:type="dxa" w:w="80"/>
              <w:right w:type="dxa" w:w="110"/>
            </w:tcMar>
          </w:tcPr>
          <w:p>
            <w:pPr>
              <w:spacing w:after="0"/>
            </w:pPr>
            <w:r>
              <w:rPr>
                <w:sz w:val="17"/>
                <w:szCs w:val="17"/>
              </w:rPr>
              <w:t xml:space="preserve">Une perte silencieuse de travail fait disparaître une décision de conception sans laisser de trace.</w:t>
            </w:r>
          </w:p>
        </w:tc>
        <w:tc>
          <w:tcPr>
            <w:tcW w:type="pct" w:w="20%"/>
            <w:tcMar>
              <w:top w:type="dxa" w:w="80"/>
              <w:left w:type="dxa" w:w="110"/>
              <w:bottom w:type="dxa" w:w="80"/>
              <w:right w:type="dxa" w:w="110"/>
            </w:tcMar>
          </w:tcPr>
          <w:p>
            <w:pPr>
              <w:spacing w:after="0"/>
            </w:pPr>
            <w:r>
              <w:rPr>
                <w:sz w:val="17"/>
                <w:szCs w:val="17"/>
              </w:rPr>
              <w:t xml:space="preserve">ISO 13485 §4.2.5</w:t>
            </w:r>
          </w:p>
        </w:tc>
      </w:tr>
      <w:tr>
        <w:tc>
          <w:tcPr>
            <w:tcW w:type="pct" w:w="11%"/>
            <w:shd w:fill="F8FAFC"/>
            <w:tcMar>
              <w:top w:type="dxa" w:w="80"/>
              <w:left w:type="dxa" w:w="110"/>
              <w:bottom w:type="dxa" w:w="80"/>
              <w:right w:type="dxa" w:w="110"/>
            </w:tcMar>
          </w:tcPr>
          <w:p>
            <w:pPr>
              <w:spacing w:after="60"/>
            </w:pPr>
            <w:r>
              <w:rPr>
                <w:b/>
                <w:bCs/>
                <w:color w:val="4338CA"/>
                <w:sz w:val="17"/>
                <w:szCs w:val="17"/>
              </w:rPr>
              <w:t xml:space="preserve">URS-20</w:t>
            </w:r>
          </w:p>
          <w:p>
            <w:pPr>
              <w:spacing w:after="0"/>
            </w:pPr>
            <w:r>
              <w:rPr>
                <w:b/>
                <w:bCs/>
                <w:color w:val="475569"/>
                <w:sz w:val="15"/>
                <w:szCs w:val="15"/>
              </w:rPr>
              <w:t xml:space="preserve">Bas</w:t>
            </w:r>
          </w:p>
        </w:tc>
        <w:tc>
          <w:tcPr>
            <w:tcW w:type="pct" w:w="41%"/>
            <w:tcMar>
              <w:top w:type="dxa" w:w="80"/>
              <w:left w:type="dxa" w:w="110"/>
              <w:bottom w:type="dxa" w:w="80"/>
              <w:right w:type="dxa" w:w="110"/>
            </w:tcMar>
          </w:tcPr>
          <w:p>
            <w:pPr>
              <w:spacing w:after="0"/>
            </w:pPr>
            <w:r>
              <w:rPr>
                <w:sz w:val="17"/>
                <w:szCs w:val="17"/>
              </w:rPr>
              <w:t xml:space="preserve">Le logiciel identifie sa propre version dans l'interface, de sorte qu'un enregistrement puisse être rattaché à la version qui l'a produit.</w:t>
            </w:r>
          </w:p>
        </w:tc>
        <w:tc>
          <w:tcPr>
            <w:tcW w:type="pct" w:w="28%"/>
            <w:tcMar>
              <w:top w:type="dxa" w:w="80"/>
              <w:left w:type="dxa" w:w="110"/>
              <w:bottom w:type="dxa" w:w="80"/>
              <w:right w:type="dxa" w:w="110"/>
            </w:tcMar>
          </w:tcPr>
          <w:p>
            <w:pPr>
              <w:spacing w:after="0"/>
            </w:pPr>
            <w:r>
              <w:rPr>
                <w:sz w:val="17"/>
                <w:szCs w:val="17"/>
              </w:rPr>
              <w:t xml:space="preserve">Sans identification de version, la revalidation après mise à jour ne peut pas être bornée.</w:t>
            </w:r>
          </w:p>
        </w:tc>
        <w:tc>
          <w:tcPr>
            <w:tcW w:type="pct" w:w="20%"/>
            <w:tcMar>
              <w:top w:type="dxa" w:w="80"/>
              <w:left w:type="dxa" w:w="110"/>
              <w:bottom w:type="dxa" w:w="80"/>
              <w:right w:type="dxa" w:w="110"/>
            </w:tcMar>
          </w:tcPr>
          <w:p>
            <w:pPr>
              <w:spacing w:after="0"/>
            </w:pPr>
            <w:r>
              <w:rPr>
                <w:sz w:val="17"/>
                <w:szCs w:val="17"/>
              </w:rPr>
              <w:t xml:space="preserve">ISO 13485 §4.1.6 · GAMP 5 §M4</w:t>
            </w:r>
          </w:p>
        </w:tc>
      </w:tr>
      <w:tr>
        <w:tc>
          <w:tcPr>
            <w:tcW w:type="pct" w:w="11%"/>
            <w:shd w:fill="F8FAFC"/>
            <w:tcMar>
              <w:top w:type="dxa" w:w="80"/>
              <w:left w:type="dxa" w:w="110"/>
              <w:bottom w:type="dxa" w:w="80"/>
              <w:right w:type="dxa" w:w="110"/>
            </w:tcMar>
          </w:tcPr>
          <w:p>
            <w:pPr>
              <w:spacing w:after="60"/>
            </w:pPr>
            <w:r>
              <w:rPr>
                <w:b/>
                <w:bCs/>
                <w:color w:val="4338CA"/>
                <w:sz w:val="17"/>
                <w:szCs w:val="17"/>
              </w:rPr>
              <w:t xml:space="preserve">URS-21</w:t>
            </w:r>
          </w:p>
          <w:p>
            <w:pPr>
              <w:spacing w:after="0"/>
            </w:pPr>
            <w:r>
              <w:rPr>
                <w:b/>
                <w:bCs/>
                <w:color w:val="DC2626"/>
                <w:sz w:val="15"/>
                <w:szCs w:val="15"/>
              </w:rPr>
              <w:t xml:space="preserve">Haut</w:t>
            </w:r>
          </w:p>
        </w:tc>
        <w:tc>
          <w:tcPr>
            <w:tcW w:type="pct" w:w="41%"/>
            <w:tcMar>
              <w:top w:type="dxa" w:w="80"/>
              <w:left w:type="dxa" w:w="110"/>
              <w:bottom w:type="dxa" w:w="80"/>
              <w:right w:type="dxa" w:w="110"/>
            </w:tcMar>
          </w:tcPr>
          <w:p>
            <w:pPr>
              <w:spacing w:after="0"/>
            </w:pPr>
            <w:r>
              <w:rPr>
                <w:sz w:val="17"/>
                <w:szCs w:val="17"/>
              </w:rPr>
              <w:t xml:space="preserve">Le système produit une archive d'inspection lisible hors de lui : les octets exacts de chaque enregistrement figé, un manifeste, et des empreintes vérifiables par un outil standard. Un enregistrement altéré sur disque y est signalé, jamais présenté comme intact.</w:t>
            </w:r>
          </w:p>
        </w:tc>
        <w:tc>
          <w:tcPr>
            <w:tcW w:type="pct" w:w="28%"/>
            <w:tcMar>
              <w:top w:type="dxa" w:w="80"/>
              <w:left w:type="dxa" w:w="110"/>
              <w:bottom w:type="dxa" w:w="80"/>
              <w:right w:type="dxa" w:w="110"/>
            </w:tcMar>
          </w:tcPr>
          <w:p>
            <w:pPr>
              <w:spacing w:after="0"/>
            </w:pPr>
            <w:r>
              <w:rPr>
                <w:sz w:val="17"/>
                <w:szCs w:val="17"/>
              </w:rPr>
              <w:t xml:space="preserve">La durée de rétention réglementaire dépasse la durée de vie de toute installation logicielle : une restitution qui dépendrait du produit ne tiendrait pas dix ans. Une archive qui masquerait une altération serait pire qu'aucune archive.</w:t>
            </w:r>
          </w:p>
        </w:tc>
        <w:tc>
          <w:tcPr>
            <w:tcW w:type="pct" w:w="20%"/>
            <w:tcMar>
              <w:top w:type="dxa" w:w="80"/>
              <w:left w:type="dxa" w:w="110"/>
              <w:bottom w:type="dxa" w:w="80"/>
              <w:right w:type="dxa" w:w="110"/>
            </w:tcMar>
          </w:tcPr>
          <w:p>
            <w:pPr>
              <w:spacing w:after="0"/>
            </w:pPr>
            <w:r>
              <w:rPr>
                <w:sz w:val="17"/>
                <w:szCs w:val="17"/>
              </w:rPr>
              <w:t xml:space="preserve">21 CFR 11.10(b) · 21 CFR 11.10(c) · ISO 13485 §4.2.5</w:t>
            </w:r>
          </w:p>
        </w:tc>
      </w:tr>
      <w:tr>
        <w:tc>
          <w:tcPr>
            <w:tcW w:type="pct" w:w="11%"/>
            <w:shd w:fill="F8FAFC"/>
            <w:tcMar>
              <w:top w:type="dxa" w:w="80"/>
              <w:left w:type="dxa" w:w="110"/>
              <w:bottom w:type="dxa" w:w="80"/>
              <w:right w:type="dxa" w:w="110"/>
            </w:tcMar>
          </w:tcPr>
          <w:p>
            <w:pPr>
              <w:spacing w:after="60"/>
            </w:pPr>
            <w:r>
              <w:rPr>
                <w:b/>
                <w:bCs/>
                <w:color w:val="4338CA"/>
                <w:sz w:val="17"/>
                <w:szCs w:val="17"/>
              </w:rPr>
              <w:t xml:space="preserve">URS-22</w:t>
            </w:r>
          </w:p>
          <w:p>
            <w:pPr>
              <w:spacing w:after="0"/>
            </w:pPr>
            <w:r>
              <w:rPr>
                <w:b/>
                <w:bCs/>
                <w:color w:val="DC2626"/>
                <w:sz w:val="15"/>
                <w:szCs w:val="15"/>
              </w:rPr>
              <w:t xml:space="preserve">Haut</w:t>
            </w:r>
          </w:p>
        </w:tc>
        <w:tc>
          <w:tcPr>
            <w:tcW w:type="pct" w:w="41%"/>
            <w:tcMar>
              <w:top w:type="dxa" w:w="80"/>
              <w:left w:type="dxa" w:w="110"/>
              <w:bottom w:type="dxa" w:w="80"/>
              <w:right w:type="dxa" w:w="110"/>
            </w:tcMar>
          </w:tcPr>
          <w:p>
            <w:pPr>
              <w:spacing w:after="0"/>
            </w:pPr>
            <w:r>
              <w:rPr>
                <w:sz w:val="17"/>
                <w:szCs w:val="17"/>
              </w:rPr>
              <w:t xml:space="preserve">La conservation légale suspend toute suppression, y compris celles qu'un administrateur peut faire par ailleurs. Sa pose et sa levée exigent chacune un motif écrit et sont journalisées.</w:t>
            </w:r>
          </w:p>
        </w:tc>
        <w:tc>
          <w:tcPr>
            <w:tcW w:type="pct" w:w="28%"/>
            <w:tcMar>
              <w:top w:type="dxa" w:w="80"/>
              <w:left w:type="dxa" w:w="110"/>
              <w:bottom w:type="dxa" w:w="80"/>
              <w:right w:type="dxa" w:w="110"/>
            </w:tcMar>
          </w:tcPr>
          <w:p>
            <w:pPr>
              <w:spacing w:after="0"/>
            </w:pPr>
            <w:r>
              <w:rPr>
                <w:sz w:val="17"/>
                <w:szCs w:val="17"/>
              </w:rPr>
              <w:t xml:space="preserve">Une suppression pratiquée pendant une instruction ou un litige constitue une destruction de preuve, quelle que soit l'intention.</w:t>
            </w:r>
          </w:p>
        </w:tc>
        <w:tc>
          <w:tcPr>
            <w:tcW w:type="pct" w:w="20%"/>
            <w:tcMar>
              <w:top w:type="dxa" w:w="80"/>
              <w:left w:type="dxa" w:w="110"/>
              <w:bottom w:type="dxa" w:w="80"/>
              <w:right w:type="dxa" w:w="110"/>
            </w:tcMar>
          </w:tcPr>
          <w:p>
            <w:pPr>
              <w:spacing w:after="0"/>
            </w:pPr>
            <w:r>
              <w:rPr>
                <w:sz w:val="17"/>
                <w:szCs w:val="17"/>
              </w:rPr>
              <w:t xml:space="preserve">21 CFR 11.10(c) · 21 CFR 11.10(e)</w:t>
            </w:r>
          </w:p>
        </w:tc>
      </w:tr>
      <w:tr>
        <w:tc>
          <w:tcPr>
            <w:tcW w:type="pct" w:w="11%"/>
            <w:shd w:fill="F8FAFC"/>
            <w:tcMar>
              <w:top w:type="dxa" w:w="80"/>
              <w:left w:type="dxa" w:w="110"/>
              <w:bottom w:type="dxa" w:w="80"/>
              <w:right w:type="dxa" w:w="110"/>
            </w:tcMar>
          </w:tcPr>
          <w:p>
            <w:pPr>
              <w:spacing w:after="60"/>
            </w:pPr>
            <w:r>
              <w:rPr>
                <w:b/>
                <w:bCs/>
                <w:color w:val="4338CA"/>
                <w:sz w:val="17"/>
                <w:szCs w:val="17"/>
              </w:rPr>
              <w:t xml:space="preserve">URS-23</w:t>
            </w:r>
          </w:p>
          <w:p>
            <w:pPr>
              <w:spacing w:after="0"/>
            </w:pPr>
            <w:r>
              <w:rPr>
                <w:b/>
                <w:bCs/>
                <w:color w:val="B45309"/>
                <w:sz w:val="15"/>
                <w:szCs w:val="15"/>
              </w:rPr>
              <w:t xml:space="preserve">Moyen</w:t>
            </w:r>
          </w:p>
        </w:tc>
        <w:tc>
          <w:tcPr>
            <w:tcW w:type="pct" w:w="41%"/>
            <w:tcMar>
              <w:top w:type="dxa" w:w="80"/>
              <w:left w:type="dxa" w:w="110"/>
              <w:bottom w:type="dxa" w:w="80"/>
              <w:right w:type="dxa" w:w="110"/>
            </w:tcMar>
          </w:tcPr>
          <w:p>
            <w:pPr>
              <w:spacing w:after="0"/>
            </w:pPr>
            <w:r>
              <w:rPr>
                <w:sz w:val="17"/>
                <w:szCs w:val="17"/>
              </w:rPr>
              <w:t xml:space="preserve">La durée de conservation déclarée est reportée sur chaque enregistrement de l'archive sous forme d'échéance. Tant qu'aucune durée n'est déclarée, l'archive le dit explicitement au lieu d'afficher une valeur par défaut.</w:t>
            </w:r>
          </w:p>
        </w:tc>
        <w:tc>
          <w:tcPr>
            <w:tcW w:type="pct" w:w="28%"/>
            <w:tcMar>
              <w:top w:type="dxa" w:w="80"/>
              <w:left w:type="dxa" w:w="110"/>
              <w:bottom w:type="dxa" w:w="80"/>
              <w:right w:type="dxa" w:w="110"/>
            </w:tcMar>
          </w:tcPr>
          <w:p>
            <w:pPr>
              <w:spacing w:after="0"/>
            </w:pPr>
            <w:r>
              <w:rPr>
                <w:sz w:val="17"/>
                <w:szCs w:val="17"/>
              </w:rPr>
              <w:t xml:space="preserve">Une durée par défaut inventée par le logiciel serait lue comme une décision de l'organisation et pourrait contredire sa procédure réelle.</w:t>
            </w:r>
          </w:p>
        </w:tc>
        <w:tc>
          <w:tcPr>
            <w:tcW w:type="pct" w:w="20%"/>
            <w:tcMar>
              <w:top w:type="dxa" w:w="80"/>
              <w:left w:type="dxa" w:w="110"/>
              <w:bottom w:type="dxa" w:w="80"/>
              <w:right w:type="dxa" w:w="110"/>
            </w:tcMar>
          </w:tcPr>
          <w:p>
            <w:pPr>
              <w:spacing w:after="0"/>
            </w:pPr>
            <w:r>
              <w:rPr>
                <w:sz w:val="17"/>
                <w:szCs w:val="17"/>
              </w:rPr>
              <w:t xml:space="preserve">21 CFR 11.10(c) · ISO 13485 §4.2.5</w:t>
            </w:r>
          </w:p>
        </w:tc>
      </w:tr>
      <w:tr>
        <w:tc>
          <w:tcPr>
            <w:tcW w:type="pct" w:w="11%"/>
            <w:shd w:fill="F8FAFC"/>
            <w:tcMar>
              <w:top w:type="dxa" w:w="80"/>
              <w:left w:type="dxa" w:w="110"/>
              <w:bottom w:type="dxa" w:w="80"/>
              <w:right w:type="dxa" w:w="110"/>
            </w:tcMar>
          </w:tcPr>
          <w:p>
            <w:pPr>
              <w:spacing w:after="60"/>
            </w:pPr>
            <w:r>
              <w:rPr>
                <w:b/>
                <w:bCs/>
                <w:color w:val="4338CA"/>
                <w:sz w:val="17"/>
                <w:szCs w:val="17"/>
              </w:rPr>
              <w:t xml:space="preserve">URS-24</w:t>
            </w:r>
          </w:p>
          <w:p>
            <w:pPr>
              <w:spacing w:after="0"/>
            </w:pPr>
            <w:r>
              <w:rPr>
                <w:b/>
                <w:bCs/>
                <w:color w:val="DC2626"/>
                <w:sz w:val="15"/>
                <w:szCs w:val="15"/>
              </w:rPr>
              <w:t xml:space="preserve">Haut</w:t>
            </w:r>
          </w:p>
        </w:tc>
        <w:tc>
          <w:tcPr>
            <w:tcW w:type="pct" w:w="41%"/>
            <w:tcMar>
              <w:top w:type="dxa" w:w="80"/>
              <w:left w:type="dxa" w:w="110"/>
              <w:bottom w:type="dxa" w:w="80"/>
              <w:right w:type="dxa" w:w="110"/>
            </w:tcMar>
          </w:tcPr>
          <w:p>
            <w:pPr>
              <w:spacing w:after="0"/>
            </w:pPr>
            <w:r>
              <w:rPr>
                <w:sz w:val="17"/>
                <w:szCs w:val="17"/>
              </w:rPr>
              <w:t xml:space="preserve">La liaison entre une signature et l'enregistrement qu'elle atteste survit à l'ouverture des révisions suivantes : l'approbation d'une révision publiée conserve son signataire, son horodatage, l'instantané signé et l'empreinte du contenu attesté.</w:t>
            </w:r>
          </w:p>
        </w:tc>
        <w:tc>
          <w:tcPr>
            <w:tcW w:type="pct" w:w="28%"/>
            <w:tcMar>
              <w:top w:type="dxa" w:w="80"/>
              <w:left w:type="dxa" w:w="110"/>
              <w:bottom w:type="dxa" w:w="80"/>
              <w:right w:type="dxa" w:w="110"/>
            </w:tcMar>
          </w:tcPr>
          <w:p>
            <w:pPr>
              <w:spacing w:after="0"/>
            </w:pPr>
            <w:r>
              <w:rPr>
                <w:sz w:val="17"/>
                <w:szCs w:val="17"/>
              </w:rPr>
              <w:t xml:space="preserve">Un enregistrement approuvé conservé sans la signature qui l'atteste ne prouve plus rien, et c'est le premier écart relevé en remontant l'historique d'un document révisé.</w:t>
            </w:r>
          </w:p>
        </w:tc>
        <w:tc>
          <w:tcPr>
            <w:tcW w:type="pct" w:w="20%"/>
            <w:tcMar>
              <w:top w:type="dxa" w:w="80"/>
              <w:left w:type="dxa" w:w="110"/>
              <w:bottom w:type="dxa" w:w="80"/>
              <w:right w:type="dxa" w:w="110"/>
            </w:tcMar>
          </w:tcPr>
          <w:p>
            <w:pPr>
              <w:spacing w:after="0"/>
            </w:pPr>
            <w:r>
              <w:rPr>
                <w:sz w:val="17"/>
                <w:szCs w:val="17"/>
              </w:rPr>
              <w:t xml:space="preserve">21 CFR 11.70 · 21 CFR 11.10(c) · ISO 13485 §4.2.4</w:t>
            </w:r>
          </w:p>
        </w:tc>
      </w:tr>
      <w:tr>
        <w:tc>
          <w:tcPr>
            <w:tcW w:type="pct" w:w="11%"/>
            <w:shd w:fill="F8FAFC"/>
            <w:tcMar>
              <w:top w:type="dxa" w:w="80"/>
              <w:left w:type="dxa" w:w="110"/>
              <w:bottom w:type="dxa" w:w="80"/>
              <w:right w:type="dxa" w:w="110"/>
            </w:tcMar>
          </w:tcPr>
          <w:p>
            <w:pPr>
              <w:spacing w:after="60"/>
            </w:pPr>
            <w:r>
              <w:rPr>
                <w:b/>
                <w:bCs/>
                <w:color w:val="4338CA"/>
                <w:sz w:val="17"/>
                <w:szCs w:val="17"/>
              </w:rPr>
              <w:t xml:space="preserve">URS-25</w:t>
            </w:r>
          </w:p>
          <w:p>
            <w:pPr>
              <w:spacing w:after="0"/>
            </w:pPr>
            <w:r>
              <w:rPr>
                <w:b/>
                <w:bCs/>
                <w:color w:val="B45309"/>
                <w:sz w:val="15"/>
                <w:szCs w:val="15"/>
              </w:rPr>
              <w:t xml:space="preserve">Moyen</w:t>
            </w:r>
          </w:p>
        </w:tc>
        <w:tc>
          <w:tcPr>
            <w:tcW w:type="pct" w:w="41%"/>
            <w:tcMar>
              <w:top w:type="dxa" w:w="80"/>
              <w:left w:type="dxa" w:w="110"/>
              <w:bottom w:type="dxa" w:w="80"/>
              <w:right w:type="dxa" w:w="110"/>
            </w:tcMar>
          </w:tcPr>
          <w:p>
            <w:pPr>
              <w:spacing w:after="0"/>
            </w:pPr>
            <w:r>
              <w:rPr>
                <w:sz w:val="17"/>
                <w:szCs w:val="17"/>
              </w:rPr>
              <w:t xml:space="preserve">Le système obtient d'une autorité tierce un jeton d'horodatage RFC 3161 sur l'ancre de l'archive, contrôle que le jeton atteste bien cette empreinte et ce nonce, et le conserve tel quel pour vérification hors du logiciel. L'indisponibilité de l'autorité ne bloque jamais l'extraction.</w:t>
            </w:r>
          </w:p>
        </w:tc>
        <w:tc>
          <w:tcPr>
            <w:tcW w:type="pct" w:w="28%"/>
            <w:tcMar>
              <w:top w:type="dxa" w:w="80"/>
              <w:left w:type="dxa" w:w="110"/>
              <w:bottom w:type="dxa" w:w="80"/>
              <w:right w:type="dxa" w:w="110"/>
            </w:tcMar>
          </w:tcPr>
          <w:p>
            <w:pPr>
              <w:spacing w:after="0"/>
            </w:pPr>
            <w:r>
              <w:rPr>
                <w:sz w:val="17"/>
                <w:szCs w:val="17"/>
              </w:rPr>
              <w:t xml:space="preserve">Une empreinte n'établit pas qu'un contenu existait à une date donnée : sans horodatage tiers, l'antériorité d'un enregistrement repose sur la seule parole de l'organisation. À l'inverse, un jeton accepté sans contrôle de l'empreinte attestée donnerait une fausse assurance.</w:t>
            </w:r>
          </w:p>
        </w:tc>
        <w:tc>
          <w:tcPr>
            <w:tcW w:type="pct" w:w="20%"/>
            <w:tcMar>
              <w:top w:type="dxa" w:w="80"/>
              <w:left w:type="dxa" w:w="110"/>
              <w:bottom w:type="dxa" w:w="80"/>
              <w:right w:type="dxa" w:w="110"/>
            </w:tcMar>
          </w:tcPr>
          <w:p>
            <w:pPr>
              <w:spacing w:after="0"/>
            </w:pPr>
            <w:r>
              <w:rPr>
                <w:sz w:val="17"/>
                <w:szCs w:val="17"/>
              </w:rPr>
              <w:t xml:space="preserve">21 CFR 11.10(c) · eIDAS art. 41 · ISO 13485 §4.2.5</w:t>
            </w:r>
          </w:p>
        </w:tc>
      </w:tr>
      <w:tr>
        <w:tc>
          <w:tcPr>
            <w:tcW w:type="pct" w:w="11%"/>
            <w:shd w:fill="F8FAFC"/>
            <w:tcMar>
              <w:top w:type="dxa" w:w="80"/>
              <w:left w:type="dxa" w:w="110"/>
              <w:bottom w:type="dxa" w:w="80"/>
              <w:right w:type="dxa" w:w="110"/>
            </w:tcMar>
          </w:tcPr>
          <w:p>
            <w:pPr>
              <w:spacing w:after="60"/>
            </w:pPr>
            <w:r>
              <w:rPr>
                <w:b/>
                <w:bCs/>
                <w:color w:val="4338CA"/>
                <w:sz w:val="17"/>
                <w:szCs w:val="17"/>
              </w:rPr>
              <w:t xml:space="preserve">URS-26</w:t>
            </w:r>
          </w:p>
          <w:p>
            <w:pPr>
              <w:spacing w:after="0"/>
            </w:pPr>
            <w:r>
              <w:rPr>
                <w:b/>
                <w:bCs/>
                <w:color w:val="475569"/>
                <w:sz w:val="15"/>
                <w:szCs w:val="15"/>
              </w:rPr>
              <w:t xml:space="preserve">Bas</w:t>
            </w:r>
          </w:p>
        </w:tc>
        <w:tc>
          <w:tcPr>
            <w:tcW w:type="pct" w:w="41%"/>
            <w:tcMar>
              <w:top w:type="dxa" w:w="80"/>
              <w:left w:type="dxa" w:w="110"/>
              <w:bottom w:type="dxa" w:w="80"/>
              <w:right w:type="dxa" w:w="110"/>
            </w:tcMar>
          </w:tcPr>
          <w:p>
            <w:pPr>
              <w:spacing w:after="0"/>
            </w:pPr>
            <w:r>
              <w:rPr>
                <w:sz w:val="17"/>
                <w:szCs w:val="17"/>
              </w:rPr>
              <w:t xml:space="preserve">La procédure de remise à zéro de la base traite chaque modèle du schéma : aucun modèle ajouté ne peut être oublié sans que la qualification le signale.</w:t>
            </w:r>
          </w:p>
        </w:tc>
        <w:tc>
          <w:tcPr>
            <w:tcW w:type="pct" w:w="28%"/>
            <w:tcMar>
              <w:top w:type="dxa" w:w="80"/>
              <w:left w:type="dxa" w:w="110"/>
              <w:bottom w:type="dxa" w:w="80"/>
              <w:right w:type="dxa" w:w="110"/>
            </w:tcMar>
          </w:tcPr>
          <w:p>
            <w:pPr>
              <w:spacing w:after="0"/>
            </w:pPr>
            <w:r>
              <w:rPr>
                <w:sz w:val="17"/>
                <w:szCs w:val="17"/>
              </w:rPr>
              <w:t xml:space="preserve">Une remise à zéro incomplète échoue en cours de route sur une clé étrangère et laisse la base à demi vidée. L'effet est limité aux environnements de développement et de démonstration — aucune installation en service ne l'exécute — mais le défaut est passé inaperçu trois fois.</w:t>
            </w:r>
          </w:p>
        </w:tc>
        <w:tc>
          <w:tcPr>
            <w:tcW w:type="pct" w:w="20%"/>
            <w:tcMar>
              <w:top w:type="dxa" w:w="80"/>
              <w:left w:type="dxa" w:w="110"/>
              <w:bottom w:type="dxa" w:w="80"/>
              <w:right w:type="dxa" w:w="110"/>
            </w:tcMar>
          </w:tcPr>
          <w:p>
            <w:pPr>
              <w:spacing w:after="0"/>
            </w:pPr>
            <w:r>
              <w:rPr>
                <w:sz w:val="17"/>
                <w:szCs w:val="17"/>
              </w:rPr>
              <w:t xml:space="preserve">ISO 13485 §4.1.6</w:t>
            </w:r>
          </w:p>
        </w:tc>
      </w:tr>
      <w:tr>
        <w:tc>
          <w:tcPr>
            <w:tcW w:type="pct" w:w="11%"/>
            <w:shd w:fill="F8FAFC"/>
            <w:tcMar>
              <w:top w:type="dxa" w:w="80"/>
              <w:left w:type="dxa" w:w="110"/>
              <w:bottom w:type="dxa" w:w="80"/>
              <w:right w:type="dxa" w:w="110"/>
            </w:tcMar>
          </w:tcPr>
          <w:p>
            <w:pPr>
              <w:spacing w:after="60"/>
            </w:pPr>
            <w:r>
              <w:rPr>
                <w:b/>
                <w:bCs/>
                <w:color w:val="4338CA"/>
                <w:sz w:val="17"/>
                <w:szCs w:val="17"/>
              </w:rPr>
              <w:t xml:space="preserve">URS-27</w:t>
            </w:r>
          </w:p>
          <w:p>
            <w:pPr>
              <w:spacing w:after="0"/>
            </w:pPr>
            <w:r>
              <w:rPr>
                <w:b/>
                <w:bCs/>
                <w:color w:val="DC2626"/>
                <w:sz w:val="15"/>
                <w:szCs w:val="15"/>
              </w:rPr>
              <w:t xml:space="preserve">Haut</w:t>
            </w:r>
          </w:p>
        </w:tc>
        <w:tc>
          <w:tcPr>
            <w:tcW w:type="pct" w:w="41%"/>
            <w:tcMar>
              <w:top w:type="dxa" w:w="80"/>
              <w:left w:type="dxa" w:w="110"/>
              <w:bottom w:type="dxa" w:w="80"/>
              <w:right w:type="dxa" w:w="110"/>
            </w:tcMar>
          </w:tcPr>
          <w:p>
            <w:pPr>
              <w:spacing w:after="0"/>
            </w:pPr>
            <w:r>
              <w:rPr>
                <w:sz w:val="17"/>
                <w:szCs w:val="17"/>
              </w:rPr>
              <w:t xml:space="preserve">Chaque entrée de piste d'audit porte l'empreinte de la précédente. Toute modification ou suppression pratiquée directement en base, hors application, est détectée à la vérification, qui désigne le rang où la chaîne se rompt.</w:t>
            </w:r>
          </w:p>
        </w:tc>
        <w:tc>
          <w:tcPr>
            <w:tcW w:type="pct" w:w="28%"/>
            <w:tcMar>
              <w:top w:type="dxa" w:w="80"/>
              <w:left w:type="dxa" w:w="110"/>
              <w:bottom w:type="dxa" w:w="80"/>
              <w:right w:type="dxa" w:w="110"/>
            </w:tcMar>
          </w:tcPr>
          <w:p>
            <w:pPr>
              <w:spacing w:after="0"/>
            </w:pPr>
            <w:r>
              <w:rPr>
                <w:sz w:val="17"/>
                <w:szCs w:val="17"/>
              </w:rPr>
              <w:t xml:space="preserve">La piste d'audit est l'enregistrement sur lequel reposent tous les autres. Une piste réinscriptible en silence ne prouve rien : elle donne une fausse assurance, ce qui est pire que l'absence de piste.</w:t>
            </w:r>
          </w:p>
        </w:tc>
        <w:tc>
          <w:tcPr>
            <w:tcW w:type="pct" w:w="20%"/>
            <w:tcMar>
              <w:top w:type="dxa" w:w="80"/>
              <w:left w:type="dxa" w:w="110"/>
              <w:bottom w:type="dxa" w:w="80"/>
              <w:right w:type="dxa" w:w="110"/>
            </w:tcMar>
          </w:tcPr>
          <w:p>
            <w:pPr>
              <w:spacing w:after="0"/>
            </w:pPr>
            <w:r>
              <w:rPr>
                <w:sz w:val="17"/>
                <w:szCs w:val="17"/>
              </w:rPr>
              <w:t xml:space="preserve">21 CFR 11.10(a) · 21 CFR 11.10(e)</w:t>
            </w:r>
          </w:p>
        </w:tc>
      </w:tr>
      <w:tr>
        <w:tc>
          <w:tcPr>
            <w:tcW w:type="pct" w:w="11%"/>
            <w:shd w:fill="F8FAFC"/>
            <w:tcMar>
              <w:top w:type="dxa" w:w="80"/>
              <w:left w:type="dxa" w:w="110"/>
              <w:bottom w:type="dxa" w:w="80"/>
              <w:right w:type="dxa" w:w="110"/>
            </w:tcMar>
          </w:tcPr>
          <w:p>
            <w:pPr>
              <w:spacing w:after="60"/>
            </w:pPr>
            <w:r>
              <w:rPr>
                <w:b/>
                <w:bCs/>
                <w:color w:val="4338CA"/>
                <w:sz w:val="17"/>
                <w:szCs w:val="17"/>
              </w:rPr>
              <w:t xml:space="preserve">URS-28</w:t>
            </w:r>
          </w:p>
          <w:p>
            <w:pPr>
              <w:spacing w:after="0"/>
            </w:pPr>
            <w:r>
              <w:rPr>
                <w:b/>
                <w:bCs/>
                <w:color w:val="DC2626"/>
                <w:sz w:val="15"/>
                <w:szCs w:val="15"/>
              </w:rPr>
              <w:t xml:space="preserve">Haut</w:t>
            </w:r>
          </w:p>
        </w:tc>
        <w:tc>
          <w:tcPr>
            <w:tcW w:type="pct" w:w="41%"/>
            <w:tcMar>
              <w:top w:type="dxa" w:w="80"/>
              <w:left w:type="dxa" w:w="110"/>
              <w:bottom w:type="dxa" w:w="80"/>
              <w:right w:type="dxa" w:w="110"/>
            </w:tcMar>
          </w:tcPr>
          <w:p>
            <w:pPr>
              <w:spacing w:after="0"/>
            </w:pPr>
            <w:r>
              <w:rPr>
                <w:sz w:val="17"/>
                <w:szCs w:val="17"/>
              </w:rPr>
              <w:t xml:space="preserve">Toute écriture dans la piste passe par un point de passage unique qui calcule la chaîne. Les outils privilégiés de la console serveur, qui ne peuvent pas charger le code de l'application, utilisent une implémentation miroir dont l'équivalence est prouvée.</w:t>
            </w:r>
          </w:p>
        </w:tc>
        <w:tc>
          <w:tcPr>
            <w:tcW w:type="pct" w:w="28%"/>
            <w:tcMar>
              <w:top w:type="dxa" w:w="80"/>
              <w:left w:type="dxa" w:w="110"/>
              <w:bottom w:type="dxa" w:w="80"/>
              <w:right w:type="dxa" w:w="110"/>
            </w:tcMar>
          </w:tcPr>
          <w:p>
            <w:pPr>
              <w:spacing w:after="0"/>
            </w:pPr>
            <w:r>
              <w:rPr>
                <w:sz w:val="17"/>
                <w:szCs w:val="17"/>
              </w:rPr>
              <w:t xml:space="preserve">Une écriture qui contournerait le chaînage produirait une entrée sans empreinte, donc une rupture indiscernable d'une altération réelle — et l'alerte finirait par être ignorée.</w:t>
            </w:r>
          </w:p>
        </w:tc>
        <w:tc>
          <w:tcPr>
            <w:tcW w:type="pct" w:w="20%"/>
            <w:tcMar>
              <w:top w:type="dxa" w:w="80"/>
              <w:left w:type="dxa" w:w="110"/>
              <w:bottom w:type="dxa" w:w="80"/>
              <w:right w:type="dxa" w:w="110"/>
            </w:tcMar>
          </w:tcPr>
          <w:p>
            <w:pPr>
              <w:spacing w:after="0"/>
            </w:pPr>
            <w:r>
              <w:rPr>
                <w:sz w:val="17"/>
                <w:szCs w:val="17"/>
              </w:rPr>
              <w:t xml:space="preserve">21 CFR 11.10(a) · 21 CFR 11.10(e)</w:t>
            </w:r>
          </w:p>
        </w:tc>
      </w:tr>
      <w:tr>
        <w:tc>
          <w:tcPr>
            <w:tcW w:type="pct" w:w="11%"/>
            <w:shd w:fill="F8FAFC"/>
            <w:tcMar>
              <w:top w:type="dxa" w:w="80"/>
              <w:left w:type="dxa" w:w="110"/>
              <w:bottom w:type="dxa" w:w="80"/>
              <w:right w:type="dxa" w:w="110"/>
            </w:tcMar>
          </w:tcPr>
          <w:p>
            <w:pPr>
              <w:spacing w:after="60"/>
            </w:pPr>
            <w:r>
              <w:rPr>
                <w:b/>
                <w:bCs/>
                <w:color w:val="4338CA"/>
                <w:sz w:val="17"/>
                <w:szCs w:val="17"/>
              </w:rPr>
              <w:t xml:space="preserve">URS-29</w:t>
            </w:r>
          </w:p>
          <w:p>
            <w:pPr>
              <w:spacing w:after="0"/>
            </w:pPr>
            <w:r>
              <w:rPr>
                <w:b/>
                <w:bCs/>
                <w:color w:val="B45309"/>
                <w:sz w:val="15"/>
                <w:szCs w:val="15"/>
              </w:rPr>
              <w:t xml:space="preserve">Moyen</w:t>
            </w:r>
          </w:p>
        </w:tc>
        <w:tc>
          <w:tcPr>
            <w:tcW w:type="pct" w:w="41%"/>
            <w:tcMar>
              <w:top w:type="dxa" w:w="80"/>
              <w:left w:type="dxa" w:w="110"/>
              <w:bottom w:type="dxa" w:w="80"/>
              <w:right w:type="dxa" w:w="110"/>
            </w:tcMar>
          </w:tcPr>
          <w:p>
            <w:pPr>
              <w:spacing w:after="0"/>
            </w:pPr>
            <w:r>
              <w:rPr>
                <w:sz w:val="17"/>
                <w:szCs w:val="17"/>
              </w:rPr>
              <w:t xml:space="preserve">La date du dernier changement de mot de passe est enregistrée à chaque écriture, au changement personnel comme à la consommation d'un jeton de réinitialisation, et l'âge de chaque mot de passe est consultable — ce qui rend possible la vérification périodique des identifiants même sans expiration imposée.</w:t>
            </w:r>
          </w:p>
        </w:tc>
        <w:tc>
          <w:tcPr>
            <w:tcW w:type="pct" w:w="28%"/>
            <w:tcMar>
              <w:top w:type="dxa" w:w="80"/>
              <w:left w:type="dxa" w:w="110"/>
              <w:bottom w:type="dxa" w:w="80"/>
              <w:right w:type="dxa" w:w="110"/>
            </w:tcMar>
          </w:tcPr>
          <w:p>
            <w:pPr>
              <w:spacing w:after="0"/>
            </w:pPr>
            <w:r>
              <w:rPr>
                <w:sz w:val="17"/>
                <w:szCs w:val="17"/>
              </w:rPr>
              <w:t xml:space="preserve">Sans date de changement, aucune revue périodique des identifiants n'est possible : la clause demande d'abord de vérifier, et l'on ne vérifie pas ce qu'on ne mesure pas.</w:t>
            </w:r>
          </w:p>
        </w:tc>
        <w:tc>
          <w:tcPr>
            <w:tcW w:type="pct" w:w="20%"/>
            <w:tcMar>
              <w:top w:type="dxa" w:w="80"/>
              <w:left w:type="dxa" w:w="110"/>
              <w:bottom w:type="dxa" w:w="80"/>
              <w:right w:type="dxa" w:w="110"/>
            </w:tcMar>
          </w:tcPr>
          <w:p>
            <w:pPr>
              <w:spacing w:after="0"/>
            </w:pPr>
            <w:r>
              <w:rPr>
                <w:sz w:val="17"/>
                <w:szCs w:val="17"/>
              </w:rPr>
              <w:t xml:space="preserve">21 CFR 11.300(b)</w:t>
            </w:r>
          </w:p>
        </w:tc>
      </w:tr>
      <w:tr>
        <w:tc>
          <w:tcPr>
            <w:tcW w:type="pct" w:w="11%"/>
            <w:shd w:fill="F8FAFC"/>
            <w:tcMar>
              <w:top w:type="dxa" w:w="80"/>
              <w:left w:type="dxa" w:w="110"/>
              <w:bottom w:type="dxa" w:w="80"/>
              <w:right w:type="dxa" w:w="110"/>
            </w:tcMar>
          </w:tcPr>
          <w:p>
            <w:pPr>
              <w:spacing w:after="60"/>
            </w:pPr>
            <w:r>
              <w:rPr>
                <w:b/>
                <w:bCs/>
                <w:color w:val="4338CA"/>
                <w:sz w:val="17"/>
                <w:szCs w:val="17"/>
              </w:rPr>
              <w:t xml:space="preserve">URS-30</w:t>
            </w:r>
          </w:p>
          <w:p>
            <w:pPr>
              <w:spacing w:after="0"/>
            </w:pPr>
            <w:r>
              <w:rPr>
                <w:b/>
                <w:bCs/>
                <w:color w:val="DC2626"/>
                <w:sz w:val="15"/>
                <w:szCs w:val="15"/>
              </w:rPr>
              <w:t xml:space="preserve">Haut</w:t>
            </w:r>
          </w:p>
        </w:tc>
        <w:tc>
          <w:tcPr>
            <w:tcW w:type="pct" w:w="41%"/>
            <w:tcMar>
              <w:top w:type="dxa" w:w="80"/>
              <w:left w:type="dxa" w:w="110"/>
              <w:bottom w:type="dxa" w:w="80"/>
              <w:right w:type="dxa" w:w="110"/>
            </w:tcMar>
          </w:tcPr>
          <w:p>
            <w:pPr>
              <w:spacing w:after="0"/>
            </w:pPr>
            <w:r>
              <w:rPr>
                <w:sz w:val="17"/>
                <w:szCs w:val="17"/>
              </w:rPr>
              <w:t xml:space="preserve">Le compte administrateur créé à l'amorçage d'une installation exige le renouvellement de son mot de passe à la première connexion. Quand une durée d'expiration est déclarée, son dépassement exige également le renouvellement, et aucune page ni route de téléchargement n'est accessible avant qu'il ait eu lieu.</w:t>
            </w:r>
          </w:p>
        </w:tc>
        <w:tc>
          <w:tcPr>
            <w:tcW w:type="pct" w:w="28%"/>
            <w:tcMar>
              <w:top w:type="dxa" w:w="80"/>
              <w:left w:type="dxa" w:w="110"/>
              <w:bottom w:type="dxa" w:w="80"/>
              <w:right w:type="dxa" w:w="110"/>
            </w:tcMar>
          </w:tcPr>
          <w:p>
            <w:pPr>
              <w:spacing w:after="0"/>
            </w:pPr>
            <w:r>
              <w:rPr>
                <w:sz w:val="17"/>
                <w:szCs w:val="17"/>
              </w:rPr>
              <w:t xml:space="preserve">Le mot de passe d'amorçage vient du fichier de composition : il n'est pas un secret, et une signature qui en dépendrait ne serait attribuable à personne. Un renouvellement contournable par une route d'export ne serait pas un renouvellement.</w:t>
            </w:r>
          </w:p>
        </w:tc>
        <w:tc>
          <w:tcPr>
            <w:tcW w:type="pct" w:w="20%"/>
            <w:tcMar>
              <w:top w:type="dxa" w:w="80"/>
              <w:left w:type="dxa" w:w="110"/>
              <w:bottom w:type="dxa" w:w="80"/>
              <w:right w:type="dxa" w:w="110"/>
            </w:tcMar>
          </w:tcPr>
          <w:p>
            <w:pPr>
              <w:spacing w:after="0"/>
            </w:pPr>
            <w:r>
              <w:rPr>
                <w:sz w:val="17"/>
                <w:szCs w:val="17"/>
              </w:rPr>
              <w:t xml:space="preserve">21 CFR 11.300(b) · 21 CFR 11.200(a)(1)</w:t>
            </w:r>
          </w:p>
        </w:tc>
      </w:tr>
      <w:tr>
        <w:tc>
          <w:tcPr>
            <w:tcW w:type="pct" w:w="11%"/>
            <w:shd w:fill="F8FAFC"/>
            <w:tcMar>
              <w:top w:type="dxa" w:w="80"/>
              <w:left w:type="dxa" w:w="110"/>
              <w:bottom w:type="dxa" w:w="80"/>
              <w:right w:type="dxa" w:w="110"/>
            </w:tcMar>
          </w:tcPr>
          <w:p>
            <w:pPr>
              <w:spacing w:after="60"/>
            </w:pPr>
            <w:r>
              <w:rPr>
                <w:b/>
                <w:bCs/>
                <w:color w:val="4338CA"/>
                <w:sz w:val="17"/>
                <w:szCs w:val="17"/>
              </w:rPr>
              <w:t xml:space="preserve">URS-31</w:t>
            </w:r>
          </w:p>
          <w:p>
            <w:pPr>
              <w:spacing w:after="0"/>
            </w:pPr>
            <w:r>
              <w:rPr>
                <w:b/>
                <w:bCs/>
                <w:color w:val="DC2626"/>
                <w:sz w:val="15"/>
                <w:szCs w:val="15"/>
              </w:rPr>
              <w:t xml:space="preserve">Haut</w:t>
            </w:r>
          </w:p>
        </w:tc>
        <w:tc>
          <w:tcPr>
            <w:tcW w:type="pct" w:w="41%"/>
            <w:tcMar>
              <w:top w:type="dxa" w:w="80"/>
              <w:left w:type="dxa" w:w="110"/>
              <w:bottom w:type="dxa" w:w="80"/>
              <w:right w:type="dxa" w:w="110"/>
            </w:tcMar>
          </w:tcPr>
          <w:p>
            <w:pPr>
              <w:spacing w:after="0"/>
            </w:pPr>
            <w:r>
              <w:rPr>
                <w:sz w:val="17"/>
                <w:szCs w:val="17"/>
              </w:rPr>
              <w:t xml:space="preserve">Aucune fonction du logiciel ne permet à quiconque de poser le mot de passe d'un autre. Un administrateur émet un jeton à usage unique, valable une durée bornée, stocké haché ; son titulaire le consomme et choisit lui-même son mot de passe. Un jeton déjà consommé, expiré, révoqué ou émis pour un autre compte est refusé.</w:t>
            </w:r>
          </w:p>
        </w:tc>
        <w:tc>
          <w:tcPr>
            <w:tcW w:type="pct" w:w="28%"/>
            <w:tcMar>
              <w:top w:type="dxa" w:w="80"/>
              <w:left w:type="dxa" w:w="110"/>
              <w:bottom w:type="dxa" w:w="80"/>
              <w:right w:type="dxa" w:w="110"/>
            </w:tcMar>
          </w:tcPr>
          <w:p>
            <w:pPr>
              <w:spacing w:after="0"/>
            </w:pPr>
            <w:r>
              <w:rPr>
                <w:sz w:val="17"/>
                <w:szCs w:val="17"/>
              </w:rPr>
              <w:t xml:space="preserve">Une signature électronique non biométrique repose sur un identifiant public et un mot de passe. Qui saisit le mot de passe d'autrui détient les deux composants et peut signer à sa place sans collaborer avec personne — ce que la clause 11.200(a)(3) interdit précisément.</w:t>
            </w:r>
          </w:p>
        </w:tc>
        <w:tc>
          <w:tcPr>
            <w:tcW w:type="pct" w:w="20%"/>
            <w:tcMar>
              <w:top w:type="dxa" w:w="80"/>
              <w:left w:type="dxa" w:w="110"/>
              <w:bottom w:type="dxa" w:w="80"/>
              <w:right w:type="dxa" w:w="110"/>
            </w:tcMar>
          </w:tcPr>
          <w:p>
            <w:pPr>
              <w:spacing w:after="0"/>
            </w:pPr>
            <w:r>
              <w:rPr>
                <w:sz w:val="17"/>
                <w:szCs w:val="17"/>
              </w:rPr>
              <w:t xml:space="preserve">21 CFR 11.200(a)(3) · 21 CFR 11.300(a)</w:t>
            </w:r>
          </w:p>
        </w:tc>
      </w:tr>
      <w:tr>
        <w:tc>
          <w:tcPr>
            <w:tcW w:type="pct" w:w="11%"/>
            <w:shd w:fill="F8FAFC"/>
            <w:tcMar>
              <w:top w:type="dxa" w:w="80"/>
              <w:left w:type="dxa" w:w="110"/>
              <w:bottom w:type="dxa" w:w="80"/>
              <w:right w:type="dxa" w:w="110"/>
            </w:tcMar>
          </w:tcPr>
          <w:p>
            <w:pPr>
              <w:spacing w:after="60"/>
            </w:pPr>
            <w:r>
              <w:rPr>
                <w:b/>
                <w:bCs/>
                <w:color w:val="4338CA"/>
                <w:sz w:val="17"/>
                <w:szCs w:val="17"/>
              </w:rPr>
              <w:t xml:space="preserve">URS-32</w:t>
            </w:r>
          </w:p>
          <w:p>
            <w:pPr>
              <w:spacing w:after="0"/>
            </w:pPr>
            <w:r>
              <w:rPr>
                <w:b/>
                <w:bCs/>
                <w:color w:val="DC2626"/>
                <w:sz w:val="15"/>
                <w:szCs w:val="15"/>
              </w:rPr>
              <w:t xml:space="preserve">Haut</w:t>
            </w:r>
          </w:p>
        </w:tc>
        <w:tc>
          <w:tcPr>
            <w:tcW w:type="pct" w:w="41%"/>
            <w:tcMar>
              <w:top w:type="dxa" w:w="80"/>
              <w:left w:type="dxa" w:w="110"/>
              <w:bottom w:type="dxa" w:w="80"/>
              <w:right w:type="dxa" w:w="110"/>
            </w:tcMar>
          </w:tcPr>
          <w:p>
            <w:pPr>
              <w:spacing w:after="0"/>
            </w:pPr>
            <w:r>
              <w:rPr>
                <w:sz w:val="17"/>
                <w:szCs w:val="17"/>
              </w:rPr>
              <w:t xml:space="preserve">L'image livrée démarre et amorce une installation utilisable : les migrations s'appliquent, l'organisation, le programme, le compte administrateur et la bibliothèque de normes sont créés, la chaîne de piste d'audit est intacte, la version annoncée est celle du logiciel, et aucune donnée n'est servie sans session.</w:t>
            </w:r>
          </w:p>
        </w:tc>
        <w:tc>
          <w:tcPr>
            <w:tcW w:type="pct" w:w="28%"/>
            <w:tcMar>
              <w:top w:type="dxa" w:w="80"/>
              <w:left w:type="dxa" w:w="110"/>
              <w:bottom w:type="dxa" w:w="80"/>
              <w:right w:type="dxa" w:w="110"/>
            </w:tcMar>
          </w:tcPr>
          <w:p>
            <w:pPr>
              <w:spacing w:after="0"/>
            </w:pPr>
            <w:r>
              <w:rPr>
                <w:sz w:val="17"/>
                <w:szCs w:val="17"/>
              </w:rPr>
              <w:t xml:space="preserve">C'est l'image qui est livrée, pas le code source. Tout ce que vérifient les autres cas s'exécute HORS du conteneur : ni le contrôle de types, ni la construction applicative, ni les cas de qualification ne voient ce que l'image contient réellement. Cet angle mort a produit une image qui ne pouvait pas démarrer du tout — le client de l'étape IQ-04 l'aurait découvert devant son infogérant — et un conteneur annonçant une version qui n'était pas la sienne.</w:t>
            </w:r>
          </w:p>
        </w:tc>
        <w:tc>
          <w:tcPr>
            <w:tcW w:type="pct" w:w="20%"/>
            <w:tcMar>
              <w:top w:type="dxa" w:w="80"/>
              <w:left w:type="dxa" w:w="110"/>
              <w:bottom w:type="dxa" w:w="80"/>
              <w:right w:type="dxa" w:w="110"/>
            </w:tcMar>
          </w:tcPr>
          <w:p>
            <w:pPr>
              <w:spacing w:after="0"/>
            </w:pPr>
            <w:r>
              <w:rPr>
                <w:sz w:val="17"/>
                <w:szCs w:val="17"/>
              </w:rPr>
              <w:t xml:space="preserve">21 CFR 11.10(a) · 21 CFR 11.10(d)</w:t>
            </w:r>
          </w:p>
        </w:tc>
      </w:tr>
      <w:tr>
        <w:tc>
          <w:tcPr>
            <w:tcW w:type="pct" w:w="11%"/>
            <w:shd w:fill="F8FAFC"/>
            <w:tcMar>
              <w:top w:type="dxa" w:w="80"/>
              <w:left w:type="dxa" w:w="110"/>
              <w:bottom w:type="dxa" w:w="80"/>
              <w:right w:type="dxa" w:w="110"/>
            </w:tcMar>
          </w:tcPr>
          <w:p>
            <w:pPr>
              <w:spacing w:after="60"/>
            </w:pPr>
            <w:r>
              <w:rPr>
                <w:b/>
                <w:bCs/>
                <w:color w:val="4338CA"/>
                <w:sz w:val="17"/>
                <w:szCs w:val="17"/>
              </w:rPr>
              <w:t xml:space="preserve">URS-33</w:t>
            </w:r>
          </w:p>
          <w:p>
            <w:pPr>
              <w:spacing w:after="0"/>
            </w:pPr>
            <w:r>
              <w:rPr>
                <w:b/>
                <w:bCs/>
                <w:color w:val="B45309"/>
                <w:sz w:val="15"/>
                <w:szCs w:val="15"/>
              </w:rPr>
              <w:t xml:space="preserve">Moyen</w:t>
            </w:r>
          </w:p>
        </w:tc>
        <w:tc>
          <w:tcPr>
            <w:tcW w:type="pct" w:w="41%"/>
            <w:tcMar>
              <w:top w:type="dxa" w:w="80"/>
              <w:left w:type="dxa" w:w="110"/>
              <w:bottom w:type="dxa" w:w="80"/>
              <w:right w:type="dxa" w:w="110"/>
            </w:tcMar>
          </w:tcPr>
          <w:p>
            <w:pPr>
              <w:spacing w:after="0"/>
            </w:pPr>
            <w:r>
              <w:rPr>
                <w:sz w:val="17"/>
                <w:szCs w:val="17"/>
              </w:rPr>
              <w:t xml:space="preserve">La piste d'audit se lit dans la langue du lecteur. Chaque entrée écrite par l'application porte la clé de son message et ses arguments ; le texte est rendu à la lecture, à l'écran, dans l'export CSV et dans l'archive d'inspection. Les valeurs d'énumération suivent la langue, les données saisies restent intactes, la clé et les arguments entrent dans l'empreinte de l'entrée, et les entrées antérieures restent lisibles avec leurs empreintes vérifiables.</w:t>
            </w:r>
          </w:p>
        </w:tc>
        <w:tc>
          <w:tcPr>
            <w:tcW w:type="pct" w:w="28%"/>
            <w:tcMar>
              <w:top w:type="dxa" w:w="80"/>
              <w:left w:type="dxa" w:w="110"/>
              <w:bottom w:type="dxa" w:w="80"/>
              <w:right w:type="dxa" w:w="110"/>
            </w:tcMar>
          </w:tcPr>
          <w:p>
            <w:pPr>
              <w:spacing w:after="0"/>
            </w:pPr>
            <w:r>
              <w:rPr>
                <w:sz w:val="17"/>
                <w:szCs w:val="17"/>
              </w:rPr>
              <w:t xml:space="preserve">La piste d'audit est l'enregistrement qu'un auditeur lit en premier. Une équipe anglophone la consultait en français : elle ne pouvait ni la relire, ni la produire à son inspecteur, ni la revoir périodiquement comme le projet d'Annexe 11 l'attend. Le risque n'est pas la perte de donnée mais l'illisibilité d'un enregistrement réglementaire — et, si la traduction se faisait hors empreinte, la possibilité d'une version anglaise falsifiée que la chaîne déclarerait intacte.</w:t>
            </w:r>
          </w:p>
        </w:tc>
        <w:tc>
          <w:tcPr>
            <w:tcW w:type="pct" w:w="20%"/>
            <w:tcMar>
              <w:top w:type="dxa" w:w="80"/>
              <w:left w:type="dxa" w:w="110"/>
              <w:bottom w:type="dxa" w:w="80"/>
              <w:right w:type="dxa" w:w="110"/>
            </w:tcMar>
          </w:tcPr>
          <w:p>
            <w:pPr>
              <w:spacing w:after="0"/>
            </w:pPr>
            <w:r>
              <w:rPr>
                <w:sz w:val="17"/>
                <w:szCs w:val="17"/>
              </w:rPr>
              <w:t xml:space="preserve">21 CFR 11.10(b) · 21 CFR 11.10(e)</w:t>
            </w:r>
          </w:p>
        </w:tc>
      </w:tr>
      <w:tr>
        <w:tc>
          <w:tcPr>
            <w:tcW w:type="pct" w:w="11%"/>
            <w:shd w:fill="F8FAFC"/>
            <w:tcMar>
              <w:top w:type="dxa" w:w="80"/>
              <w:left w:type="dxa" w:w="110"/>
              <w:bottom w:type="dxa" w:w="80"/>
              <w:right w:type="dxa" w:w="110"/>
            </w:tcMar>
          </w:tcPr>
          <w:p>
            <w:pPr>
              <w:spacing w:after="60"/>
            </w:pPr>
            <w:r>
              <w:rPr>
                <w:b/>
                <w:bCs/>
                <w:color w:val="4338CA"/>
                <w:sz w:val="17"/>
                <w:szCs w:val="17"/>
              </w:rPr>
              <w:t xml:space="preserve">URS-34</w:t>
            </w:r>
          </w:p>
          <w:p>
            <w:pPr>
              <w:spacing w:after="0"/>
            </w:pPr>
            <w:r>
              <w:rPr>
                <w:b/>
                <w:bCs/>
                <w:color w:val="B45309"/>
                <w:sz w:val="15"/>
                <w:szCs w:val="15"/>
              </w:rPr>
              <w:t xml:space="preserve">Moyen</w:t>
            </w:r>
          </w:p>
        </w:tc>
        <w:tc>
          <w:tcPr>
            <w:tcW w:type="pct" w:w="41%"/>
            <w:tcMar>
              <w:top w:type="dxa" w:w="80"/>
              <w:left w:type="dxa" w:w="110"/>
              <w:bottom w:type="dxa" w:w="80"/>
              <w:right w:type="dxa" w:w="110"/>
            </w:tcMar>
          </w:tcPr>
          <w:p>
            <w:pPr>
              <w:spacing w:after="0"/>
            </w:pPr>
            <w:r>
              <w:rPr>
                <w:sz w:val="17"/>
                <w:szCs w:val="17"/>
              </w:rPr>
              <w:t xml:space="preserve">Chaque enregistrement figé emporte dans l'archive d'inspection une copie d'archivage au format PDF/A-2b : police embarquée, profil colorimétrique embarqué, métadonnées déclarant la partie et le niveau de conformité, identifiant de fichier, aucun chiffrement ni script. La copie porte les empreintes du contenu et du fichier, énonce qu'elle n'est pas l'enregistrement, et son texte se retraduit en caractères par sa propre table de correspondance.</w:t>
            </w:r>
          </w:p>
        </w:tc>
        <w:tc>
          <w:tcPr>
            <w:tcW w:type="pct" w:w="28%"/>
            <w:tcMar>
              <w:top w:type="dxa" w:w="80"/>
              <w:left w:type="dxa" w:w="110"/>
              <w:bottom w:type="dxa" w:w="80"/>
              <w:right w:type="dxa" w:w="110"/>
            </w:tcMar>
          </w:tcPr>
          <w:p>
            <w:pPr>
              <w:spacing w:after="0"/>
            </w:pPr>
            <w:r>
              <w:rPr>
                <w:sz w:val="17"/>
                <w:szCs w:val="17"/>
              </w:rPr>
              <w:t xml:space="preserve">L'enregistrement qui fait foi est un .docx, et sa lisibilité dans dix ans dépend d'un logiciel bureautique dont rien ne garantit l'existence. Le risque n'est pas la perte de la donnée — les octets sont conservés et leur empreinte est signée — mais l'impossibilité de la LIRE au moment d'une inspection. Une copie qui prétendrait être l'enregistrement serait pire que pas de copie : la signature porte sur l'empreinte du contenu gelé, et confondre les deux romprait la chaîne de preuve.</w:t>
            </w:r>
          </w:p>
        </w:tc>
        <w:tc>
          <w:tcPr>
            <w:tcW w:type="pct" w:w="20%"/>
            <w:tcMar>
              <w:top w:type="dxa" w:w="80"/>
              <w:left w:type="dxa" w:w="110"/>
              <w:bottom w:type="dxa" w:w="80"/>
              <w:right w:type="dxa" w:w="110"/>
            </w:tcMar>
          </w:tcPr>
          <w:p>
            <w:pPr>
              <w:spacing w:after="0"/>
            </w:pPr>
            <w:r>
              <w:rPr>
                <w:sz w:val="17"/>
                <w:szCs w:val="17"/>
              </w:rPr>
              <w:t xml:space="preserve">21 CFR 11.10(b) · 21 CFR 11.10(c)</w:t>
            </w:r>
          </w:p>
        </w:tc>
      </w:tr>
      <w:tr>
        <w:tc>
          <w:tcPr>
            <w:tcW w:type="pct" w:w="11%"/>
            <w:shd w:fill="F8FAFC"/>
            <w:tcMar>
              <w:top w:type="dxa" w:w="80"/>
              <w:left w:type="dxa" w:w="110"/>
              <w:bottom w:type="dxa" w:w="80"/>
              <w:right w:type="dxa" w:w="110"/>
            </w:tcMar>
          </w:tcPr>
          <w:p>
            <w:pPr>
              <w:spacing w:after="60"/>
            </w:pPr>
            <w:r>
              <w:rPr>
                <w:b/>
                <w:bCs/>
                <w:color w:val="4338CA"/>
                <w:sz w:val="17"/>
                <w:szCs w:val="17"/>
              </w:rPr>
              <w:t xml:space="preserve">URS-35</w:t>
            </w:r>
          </w:p>
          <w:p>
            <w:pPr>
              <w:spacing w:after="0"/>
            </w:pPr>
            <w:r>
              <w:rPr>
                <w:b/>
                <w:bCs/>
                <w:color w:val="DC2626"/>
                <w:sz w:val="15"/>
                <w:szCs w:val="15"/>
              </w:rPr>
              <w:t xml:space="preserve">Haut</w:t>
            </w:r>
          </w:p>
        </w:tc>
        <w:tc>
          <w:tcPr>
            <w:tcW w:type="pct" w:w="41%"/>
            <w:tcMar>
              <w:top w:type="dxa" w:w="80"/>
              <w:left w:type="dxa" w:w="110"/>
              <w:bottom w:type="dxa" w:w="80"/>
              <w:right w:type="dxa" w:w="110"/>
            </w:tcMar>
          </w:tcPr>
          <w:p>
            <w:pPr>
              <w:spacing w:after="0"/>
            </w:pPr>
            <w:r>
              <w:rPr>
                <w:sz w:val="17"/>
                <w:szCs w:val="17"/>
              </w:rPr>
              <w:t xml:space="preserve">Les revues périodiques de la piste d'audit couvrent des plages de RANGS contiguës : une revue commence exactement au rang qui suit la dernière revue close, sa fenêtre est figée à l'ouverture, et le logiciel refuse d'ouvrir une seconde revue tant qu'une autre est en cours. Toute lacune de couverture est calculée et signalée.</w:t>
            </w:r>
          </w:p>
        </w:tc>
        <w:tc>
          <w:tcPr>
            <w:tcW w:type="pct" w:w="28%"/>
            <w:tcMar>
              <w:top w:type="dxa" w:w="80"/>
              <w:left w:type="dxa" w:w="110"/>
              <w:bottom w:type="dxa" w:w="80"/>
              <w:right w:type="dxa" w:w="110"/>
            </w:tcMar>
          </w:tcPr>
          <w:p>
            <w:pPr>
              <w:spacing w:after="0"/>
            </w:pPr>
            <w:r>
              <w:rPr>
                <w:sz w:val="17"/>
                <w:szCs w:val="17"/>
              </w:rPr>
              <w:t xml:space="preserve">Une revue bornée par des dates laisse échapper ce qui s'écrit pendant qu'on la clôture : la revue suivante repartant du lendemain, ces entrées ne seront lues par personne, et rien ne le signalera. C'est le défaut qui vide la revue de sa valeur tout en produisant un enregistrement signé — donc la fausse assurance la plus coûteuse. Deux revues concurrentes produiraient le même effet à l'autre bout.</w:t>
            </w:r>
          </w:p>
        </w:tc>
        <w:tc>
          <w:tcPr>
            <w:tcW w:type="pct" w:w="20%"/>
            <w:tcMar>
              <w:top w:type="dxa" w:w="80"/>
              <w:left w:type="dxa" w:w="110"/>
              <w:bottom w:type="dxa" w:w="80"/>
              <w:right w:type="dxa" w:w="110"/>
            </w:tcMar>
          </w:tcPr>
          <w:p>
            <w:pPr>
              <w:spacing w:after="0"/>
            </w:pPr>
            <w:r>
              <w:rPr>
                <w:sz w:val="17"/>
                <w:szCs w:val="17"/>
              </w:rPr>
              <w:t xml:space="preserve">21 CFR 11.10(e) · Annexe 11 (projet) — Piste d'audit</w:t>
            </w:r>
          </w:p>
        </w:tc>
      </w:tr>
      <w:tr>
        <w:tc>
          <w:tcPr>
            <w:tcW w:type="pct" w:w="11%"/>
            <w:shd w:fill="F8FAFC"/>
            <w:tcMar>
              <w:top w:type="dxa" w:w="80"/>
              <w:left w:type="dxa" w:w="110"/>
              <w:bottom w:type="dxa" w:w="80"/>
              <w:right w:type="dxa" w:w="110"/>
            </w:tcMar>
          </w:tcPr>
          <w:p>
            <w:pPr>
              <w:spacing w:after="60"/>
            </w:pPr>
            <w:r>
              <w:rPr>
                <w:b/>
                <w:bCs/>
                <w:color w:val="4338CA"/>
                <w:sz w:val="17"/>
                <w:szCs w:val="17"/>
              </w:rPr>
              <w:t xml:space="preserve">URS-36</w:t>
            </w:r>
          </w:p>
          <w:p>
            <w:pPr>
              <w:spacing w:after="0"/>
            </w:pPr>
            <w:r>
              <w:rPr>
                <w:b/>
                <w:bCs/>
                <w:color w:val="DC2626"/>
                <w:sz w:val="15"/>
                <w:szCs w:val="15"/>
              </w:rPr>
              <w:t xml:space="preserve">Haut</w:t>
            </w:r>
          </w:p>
        </w:tc>
        <w:tc>
          <w:tcPr>
            <w:tcW w:type="pct" w:w="41%"/>
            <w:tcMar>
              <w:top w:type="dxa" w:w="80"/>
              <w:left w:type="dxa" w:w="110"/>
              <w:bottom w:type="dxa" w:w="80"/>
              <w:right w:type="dxa" w:w="110"/>
            </w:tcMar>
          </w:tcPr>
          <w:p>
            <w:pPr>
              <w:spacing w:after="0"/>
            </w:pPr>
            <w:r>
              <w:rPr>
                <w:sz w:val="17"/>
                <w:szCs w:val="17"/>
              </w:rPr>
              <w:t xml:space="preserve">La clôture d'une revue est une signature électronique : elle exige la ressaisie du mot de passe, porte le nom imprimé, la signification « Revu » et l'horodatage, et recopie l'empreinte du CONTENU revu — fenêtre, comptes, règles appliquées, verdicts et conclusion. Elle est refusée tant qu'une entrée retenue n'est pas statuée, tant que la conclusion est vide, et une revue close ne se rouvre pas.</w:t>
            </w:r>
          </w:p>
        </w:tc>
        <w:tc>
          <w:tcPr>
            <w:tcW w:type="pct" w:w="28%"/>
            <w:tcMar>
              <w:top w:type="dxa" w:w="80"/>
              <w:left w:type="dxa" w:w="110"/>
              <w:bottom w:type="dxa" w:w="80"/>
              <w:right w:type="dxa" w:w="110"/>
            </w:tcMar>
          </w:tcPr>
          <w:p>
            <w:pPr>
              <w:spacing w:after="0"/>
            </w:pPr>
            <w:r>
              <w:rPr>
                <w:sz w:val="17"/>
                <w:szCs w:val="17"/>
              </w:rPr>
              <w:t xml:space="preserve">Une revue signée sans empreinte du contenu revu atteste d'une date, pas d'un travail : « revu le 6 août » ne dit pas QUOI a été revu, et le contenu pourrait changer ensuite sans que la signature en souffre. Une clôture possible sur des lignes non statuées permettrait de signer un travail non fait — l'inverse exact de ce que la revue prouve.</w:t>
            </w:r>
          </w:p>
        </w:tc>
        <w:tc>
          <w:tcPr>
            <w:tcW w:type="pct" w:w="20%"/>
            <w:tcMar>
              <w:top w:type="dxa" w:w="80"/>
              <w:left w:type="dxa" w:w="110"/>
              <w:bottom w:type="dxa" w:w="80"/>
              <w:right w:type="dxa" w:w="110"/>
            </w:tcMar>
          </w:tcPr>
          <w:p>
            <w:pPr>
              <w:spacing w:after="0"/>
            </w:pPr>
            <w:r>
              <w:rPr>
                <w:sz w:val="17"/>
                <w:szCs w:val="17"/>
              </w:rPr>
              <w:t xml:space="preserve">21 CFR 11.50 · 21 CFR 11.70 · 21 CFR 11.200(a)(1) · Annexe 11 (projet) — Piste d'audit</w:t>
            </w:r>
          </w:p>
        </w:tc>
      </w:tr>
      <w:tr>
        <w:tc>
          <w:tcPr>
            <w:tcW w:type="pct" w:w="11%"/>
            <w:shd w:fill="F8FAFC"/>
            <w:tcMar>
              <w:top w:type="dxa" w:w="80"/>
              <w:left w:type="dxa" w:w="110"/>
              <w:bottom w:type="dxa" w:w="80"/>
              <w:right w:type="dxa" w:w="110"/>
            </w:tcMar>
          </w:tcPr>
          <w:p>
            <w:pPr>
              <w:spacing w:after="60"/>
            </w:pPr>
            <w:r>
              <w:rPr>
                <w:b/>
                <w:bCs/>
                <w:color w:val="4338CA"/>
                <w:sz w:val="17"/>
                <w:szCs w:val="17"/>
              </w:rPr>
              <w:t xml:space="preserve">URS-37</w:t>
            </w:r>
          </w:p>
          <w:p>
            <w:pPr>
              <w:spacing w:after="0"/>
            </w:pPr>
            <w:r>
              <w:rPr>
                <w:b/>
                <w:bCs/>
                <w:color w:val="B45309"/>
                <w:sz w:val="15"/>
                <w:szCs w:val="15"/>
              </w:rPr>
              <w:t xml:space="preserve">Moyen</w:t>
            </w:r>
          </w:p>
        </w:tc>
        <w:tc>
          <w:tcPr>
            <w:tcW w:type="pct" w:w="41%"/>
            <w:tcMar>
              <w:top w:type="dxa" w:w="80"/>
              <w:left w:type="dxa" w:w="110"/>
              <w:bottom w:type="dxa" w:w="80"/>
              <w:right w:type="dxa" w:w="110"/>
            </w:tcMar>
          </w:tcPr>
          <w:p>
            <w:pPr>
              <w:spacing w:after="0"/>
            </w:pPr>
            <w:r>
              <w:rPr>
                <w:sz w:val="17"/>
                <w:szCs w:val="17"/>
              </w:rPr>
              <w:t xml:space="preserve">Les contrôles de qualité d'énoncé sont DÉTERMINISTES et sans effet de bord : ils s'exécutent sans clé d'API et sans accès réseau, rendent le même résultat pour le même énoncé, citent le fragment fautif tel qu'il a été écrit, n'écrivent jamais dans l'enregistrement et n'empêchent jamais de l'enregistrer.</w:t>
            </w:r>
          </w:p>
        </w:tc>
        <w:tc>
          <w:tcPr>
            <w:tcW w:type="pct" w:w="28%"/>
            <w:tcMar>
              <w:top w:type="dxa" w:w="80"/>
              <w:left w:type="dxa" w:w="110"/>
              <w:bottom w:type="dxa" w:w="80"/>
              <w:right w:type="dxa" w:w="110"/>
            </w:tcMar>
          </w:tcPr>
          <w:p>
            <w:pPr>
              <w:spacing w:after="0"/>
            </w:pPr>
            <w:r>
              <w:rPr>
                <w:sz w:val="17"/>
                <w:szCs w:val="17"/>
              </w:rPr>
              <w:t xml:space="preserve">Un contrôle qui réécrirait l'énoncé changerait l'auteur d'un enregistrement sans que personne l'ait décidé — l'attribution ALCOA+ tomberait. Un contrôle qui bloquerait l'enregistrement serait contourné en retirant le mot déclencheur, et deviendrait une décoration qui donne l'illusion d'une maîtrise. Un contrôle dépendant d'un modèle de langue ne rendrait pas deux fois le même verdict et ne pourrait pas être qualifié.</w:t>
            </w:r>
          </w:p>
        </w:tc>
        <w:tc>
          <w:tcPr>
            <w:tcW w:type="pct" w:w="20%"/>
            <w:tcMar>
              <w:top w:type="dxa" w:w="80"/>
              <w:left w:type="dxa" w:w="110"/>
              <w:bottom w:type="dxa" w:w="80"/>
              <w:right w:type="dxa" w:w="110"/>
            </w:tcMar>
          </w:tcPr>
          <w:p>
            <w:pPr>
              <w:spacing w:after="0"/>
            </w:pPr>
            <w:r>
              <w:rPr>
                <w:sz w:val="17"/>
                <w:szCs w:val="17"/>
              </w:rPr>
              <w:t xml:space="preserve">ISO 13485 §7.3.3 · IEC 62366-1 §5.1 · 21 CFR 820.30(c)</w:t>
            </w:r>
          </w:p>
        </w:tc>
      </w:tr>
      <w:tr>
        <w:tc>
          <w:tcPr>
            <w:tcW w:type="pct" w:w="11%"/>
            <w:shd w:fill="F8FAFC"/>
            <w:tcMar>
              <w:top w:type="dxa" w:w="80"/>
              <w:left w:type="dxa" w:w="110"/>
              <w:bottom w:type="dxa" w:w="80"/>
              <w:right w:type="dxa" w:w="110"/>
            </w:tcMar>
          </w:tcPr>
          <w:p>
            <w:pPr>
              <w:spacing w:after="60"/>
            </w:pPr>
            <w:r>
              <w:rPr>
                <w:b/>
                <w:bCs/>
                <w:color w:val="4338CA"/>
                <w:sz w:val="17"/>
                <w:szCs w:val="17"/>
              </w:rPr>
              <w:t xml:space="preserve">URS-38</w:t>
            </w:r>
          </w:p>
          <w:p>
            <w:pPr>
              <w:spacing w:after="0"/>
            </w:pPr>
            <w:r>
              <w:rPr>
                <w:b/>
                <w:bCs/>
                <w:color w:val="DC2626"/>
                <w:sz w:val="15"/>
                <w:szCs w:val="15"/>
              </w:rPr>
              <w:t xml:space="preserve">Haut</w:t>
            </w:r>
          </w:p>
        </w:tc>
        <w:tc>
          <w:tcPr>
            <w:tcW w:type="pct" w:w="41%"/>
            <w:tcMar>
              <w:top w:type="dxa" w:w="80"/>
              <w:left w:type="dxa" w:w="110"/>
              <w:bottom w:type="dxa" w:w="80"/>
              <w:right w:type="dxa" w:w="110"/>
            </w:tcMar>
          </w:tcPr>
          <w:p>
            <w:pPr>
              <w:spacing w:after="0"/>
            </w:pPr>
            <w:r>
              <w:rPr>
                <w:sz w:val="17"/>
                <w:szCs w:val="17"/>
              </w:rPr>
              <w:t xml:space="preserve">Un classeur .xlsx et un document .docx sont lus sans conversion préalable : chaque tableau est restitué avec ses en-têtes d'origine, les cellules vides conservent leur position, et le tableau retenu passe par le MÊME aperçu à blanc que le CSV. Les valeurs d'énumération sont ramenées aux valeurs internes, quelle que soit la langue du fichier ; une valeur non reconnue est signalée et ignorée, jamais stockée telle quelle.</w:t>
            </w:r>
          </w:p>
        </w:tc>
        <w:tc>
          <w:tcPr>
            <w:tcW w:type="pct" w:w="28%"/>
            <w:tcMar>
              <w:top w:type="dxa" w:w="80"/>
              <w:left w:type="dxa" w:w="110"/>
              <w:bottom w:type="dxa" w:w="80"/>
              <w:right w:type="dxa" w:w="110"/>
            </w:tcMar>
          </w:tcPr>
          <w:p>
            <w:pPr>
              <w:spacing w:after="0"/>
            </w:pPr>
            <w:r>
              <w:rPr>
                <w:sz w:val="17"/>
                <w:szCs w:val="17"/>
              </w:rPr>
              <w:t xml:space="preserve">Une cellule vide non conservée décale toutes les suivantes : la justification d'une exigence se retrouve dans le sous-système, et rien ne le signale — c'est le défaut le plus silencieux qu'un import puisse produire. Une valeur d'énumération stockée telle quelle est aussi grave dans l'autre sens : une exigence « Haute » importée d'un fichier français s'affiche comme faible et sort des filtres de criticité, si bien que l'exigence la plus critique du dossier devient la moins visible.</w:t>
            </w:r>
          </w:p>
        </w:tc>
        <w:tc>
          <w:tcPr>
            <w:tcW w:type="pct" w:w="20%"/>
            <w:tcMar>
              <w:top w:type="dxa" w:w="80"/>
              <w:left w:type="dxa" w:w="110"/>
              <w:bottom w:type="dxa" w:w="80"/>
              <w:right w:type="dxa" w:w="110"/>
            </w:tcMar>
          </w:tcPr>
          <w:p>
            <w:pPr>
              <w:spacing w:after="0"/>
            </w:pPr>
            <w:r>
              <w:rPr>
                <w:sz w:val="17"/>
                <w:szCs w:val="17"/>
              </w:rPr>
              <w:t xml:space="preserve">ISO 13485 §4.2.5 · 21 CFR 11.10(a) · ALCOA+ — exact et complet</w:t>
            </w:r>
          </w:p>
        </w:tc>
      </w:tr>
      <w:tr>
        <w:tc>
          <w:tcPr>
            <w:tcW w:type="pct" w:w="11%"/>
            <w:shd w:fill="F8FAFC"/>
            <w:tcMar>
              <w:top w:type="dxa" w:w="80"/>
              <w:left w:type="dxa" w:w="110"/>
              <w:bottom w:type="dxa" w:w="80"/>
              <w:right w:type="dxa" w:w="110"/>
            </w:tcMar>
          </w:tcPr>
          <w:p>
            <w:pPr>
              <w:spacing w:after="60"/>
            </w:pPr>
            <w:r>
              <w:rPr>
                <w:b/>
                <w:bCs/>
                <w:color w:val="4338CA"/>
                <w:sz w:val="17"/>
                <w:szCs w:val="17"/>
              </w:rPr>
              <w:t xml:space="preserve">URS-39</w:t>
            </w:r>
          </w:p>
          <w:p>
            <w:pPr>
              <w:spacing w:after="0"/>
            </w:pPr>
            <w:r>
              <w:rPr>
                <w:b/>
                <w:bCs/>
                <w:color w:val="B45309"/>
                <w:sz w:val="15"/>
                <w:szCs w:val="15"/>
              </w:rPr>
              <w:t xml:space="preserve">Moyen</w:t>
            </w:r>
          </w:p>
        </w:tc>
        <w:tc>
          <w:tcPr>
            <w:tcW w:type="pct" w:w="41%"/>
            <w:tcMar>
              <w:top w:type="dxa" w:w="80"/>
              <w:left w:type="dxa" w:w="110"/>
              <w:bottom w:type="dxa" w:w="80"/>
              <w:right w:type="dxa" w:w="110"/>
            </w:tcMar>
          </w:tcPr>
          <w:p>
            <w:pPr>
              <w:spacing w:after="0"/>
            </w:pPr>
            <w:r>
              <w:rPr>
                <w:sz w:val="17"/>
                <w:szCs w:val="17"/>
              </w:rPr>
              <w:t xml:space="preserve">Le dossier technique exporté indexe le contenu du programme sur le référentiel de diagnostic — le MÊME que celui de la trame remise en amont — et déduit chaque statut du graphe, jamais d'une saisie. Les éléments hors du périmètre de Filum sont nommés comme tels avec la source dont ils doivent venir, et l'index ne peut pas contredire le paquet qu'il indexe. L'export est journalisé avec l'état de l'index au moment où il sort.</w:t>
            </w:r>
          </w:p>
        </w:tc>
        <w:tc>
          <w:tcPr>
            <w:tcW w:type="pct" w:w="28%"/>
            <w:tcMar>
              <w:top w:type="dxa" w:w="80"/>
              <w:left w:type="dxa" w:w="110"/>
              <w:bottom w:type="dxa" w:w="80"/>
              <w:right w:type="dxa" w:w="110"/>
            </w:tcMar>
          </w:tcPr>
          <w:p>
            <w:pPr>
              <w:spacing w:after="0"/>
            </w:pPr>
            <w:r>
              <w:rPr>
                <w:sz w:val="17"/>
                <w:szCs w:val="17"/>
              </w:rPr>
              <w:t xml:space="preserve">Un index qui annonce « aucune revue de conception » pendant que la revue figure trois lignes plus bas dans le même paquet détruit la crédibilité de tout le dossier devant un inspecteur — et c'est un défaut silencieux, puisque l'index a l'air complet. Un index qui tairait les éléments hors périmètre serait pire encore : il laisserait croire à un dossier technique complet là où il n'y a que la conception, et l'écart serait découvert par l'auditeur plutôt que par le fabricant.</w:t>
            </w:r>
          </w:p>
        </w:tc>
        <w:tc>
          <w:tcPr>
            <w:tcW w:type="pct" w:w="20%"/>
            <w:tcMar>
              <w:top w:type="dxa" w:w="80"/>
              <w:left w:type="dxa" w:w="110"/>
              <w:bottom w:type="dxa" w:w="80"/>
              <w:right w:type="dxa" w:w="110"/>
            </w:tcMar>
          </w:tcPr>
          <w:p>
            <w:pPr>
              <w:spacing w:after="0"/>
            </w:pPr>
            <w:r>
              <w:rPr>
                <w:sz w:val="17"/>
                <w:szCs w:val="17"/>
              </w:rPr>
              <w:t xml:space="preserve">ISO 13485 §4.2.3 · 21 CFR 820.30(j) · MDR (UE) 2017/745 Annexe II</w:t>
            </w:r>
          </w:p>
        </w:tc>
      </w:tr>
      <w:tr>
        <w:tc>
          <w:tcPr>
            <w:tcW w:type="pct" w:w="11%"/>
            <w:shd w:fill="F8FAFC"/>
            <w:tcMar>
              <w:top w:type="dxa" w:w="80"/>
              <w:left w:type="dxa" w:w="110"/>
              <w:bottom w:type="dxa" w:w="80"/>
              <w:right w:type="dxa" w:w="110"/>
            </w:tcMar>
          </w:tcPr>
          <w:p>
            <w:pPr>
              <w:spacing w:after="60"/>
            </w:pPr>
            <w:r>
              <w:rPr>
                <w:b/>
                <w:bCs/>
                <w:color w:val="4338CA"/>
                <w:sz w:val="17"/>
                <w:szCs w:val="17"/>
              </w:rPr>
              <w:t xml:space="preserve">URS-40</w:t>
            </w:r>
          </w:p>
          <w:p>
            <w:pPr>
              <w:spacing w:after="0"/>
            </w:pPr>
            <w:r>
              <w:rPr>
                <w:b/>
                <w:bCs/>
                <w:color w:val="DC2626"/>
                <w:sz w:val="15"/>
                <w:szCs w:val="15"/>
              </w:rPr>
              <w:t xml:space="preserve">Haut</w:t>
            </w:r>
          </w:p>
        </w:tc>
        <w:tc>
          <w:tcPr>
            <w:tcW w:type="pct" w:w="41%"/>
            <w:tcMar>
              <w:top w:type="dxa" w:w="80"/>
              <w:left w:type="dxa" w:w="110"/>
              <w:bottom w:type="dxa" w:w="80"/>
              <w:right w:type="dxa" w:w="110"/>
            </w:tcMar>
          </w:tcPr>
          <w:p>
            <w:pPr>
              <w:spacing w:after="0"/>
            </w:pPr>
            <w:r>
              <w:rPr>
                <w:sz w:val="17"/>
                <w:szCs w:val="17"/>
              </w:rPr>
              <w:t xml:space="preserve">La base est en journalisation WAL, et le passage est appliqué au démarrage de façon idempotente. Le volume des fichiers est en AJOUT SEUL : aucun chemin du logiciel n'y supprime ni n'y écrase. Un contrôle relit chaque pièce référencée par la base et distingue une pièce ABSENTE — fichiers en retard sur la base — d'une pièce ALTÉRÉE — octets changés hors du logiciel.</w:t>
            </w:r>
          </w:p>
        </w:tc>
        <w:tc>
          <w:tcPr>
            <w:tcW w:type="pct" w:w="28%"/>
            <w:tcMar>
              <w:top w:type="dxa" w:w="80"/>
              <w:left w:type="dxa" w:w="110"/>
              <w:bottom w:type="dxa" w:w="80"/>
              <w:right w:type="dxa" w:w="110"/>
            </w:tcMar>
          </w:tcPr>
          <w:p>
            <w:pPr>
              <w:spacing w:after="0"/>
            </w:pPr>
            <w:r>
              <w:rPr>
                <w:sz w:val="17"/>
                <w:szCs w:val="17"/>
              </w:rPr>
              <w:t xml:space="preserve">La réplication continue ne réplique que la base. Sans la propriété d'ajout seul du volume des fichiers, aucune règle d'ordre de restauration ne serait sûre, et une restauration produirait des enregistrements approuvés dont les octets manquent — un dossier réglementaire amputé sans que rien ne le signale. Sans WAL, une installation « avec réplication » répliquerait du vide. Et confondre une pièce absente avec une pièce altérée ferait traiter une atteinte à l'intégrité comme un incident d'exploitation.</w:t>
            </w:r>
          </w:p>
        </w:tc>
        <w:tc>
          <w:tcPr>
            <w:tcW w:type="pct" w:w="20%"/>
            <w:tcMar>
              <w:top w:type="dxa" w:w="80"/>
              <w:left w:type="dxa" w:w="110"/>
              <w:bottom w:type="dxa" w:w="80"/>
              <w:right w:type="dxa" w:w="110"/>
            </w:tcMar>
          </w:tcPr>
          <w:p>
            <w:pPr>
              <w:spacing w:after="0"/>
            </w:pPr>
            <w:r>
              <w:rPr>
                <w:sz w:val="17"/>
                <w:szCs w:val="17"/>
              </w:rPr>
              <w:t xml:space="preserve">21 CFR 11.10(c) · Annexe 11 (projet) — Sauvegarde et restauration · ISO 13485 §4.2.5</w:t>
            </w:r>
          </w:p>
        </w:tc>
      </w:tr>
      <w:tr>
        <w:tc>
          <w:tcPr>
            <w:tcW w:type="pct" w:w="11%"/>
            <w:shd w:fill="F8FAFC"/>
            <w:tcMar>
              <w:top w:type="dxa" w:w="80"/>
              <w:left w:type="dxa" w:w="110"/>
              <w:bottom w:type="dxa" w:w="80"/>
              <w:right w:type="dxa" w:w="110"/>
            </w:tcMar>
          </w:tcPr>
          <w:p>
            <w:pPr>
              <w:spacing w:after="60"/>
            </w:pPr>
            <w:r>
              <w:rPr>
                <w:b/>
                <w:bCs/>
                <w:color w:val="4338CA"/>
                <w:sz w:val="17"/>
                <w:szCs w:val="17"/>
              </w:rPr>
              <w:t xml:space="preserve">URS-41</w:t>
            </w:r>
          </w:p>
          <w:p>
            <w:pPr>
              <w:spacing w:after="0"/>
            </w:pPr>
            <w:r>
              <w:rPr>
                <w:b/>
                <w:bCs/>
                <w:color w:val="B45309"/>
                <w:sz w:val="15"/>
                <w:szCs w:val="15"/>
              </w:rPr>
              <w:t xml:space="preserve">Moyen</w:t>
            </w:r>
          </w:p>
        </w:tc>
        <w:tc>
          <w:tcPr>
            <w:tcW w:type="pct" w:w="41%"/>
            <w:tcMar>
              <w:top w:type="dxa" w:w="80"/>
              <w:left w:type="dxa" w:w="110"/>
              <w:bottom w:type="dxa" w:w="80"/>
              <w:right w:type="dxa" w:w="110"/>
            </w:tcMar>
          </w:tcPr>
          <w:p>
            <w:pPr>
              <w:spacing w:after="0"/>
            </w:pPr>
            <w:r>
              <w:rPr>
                <w:sz w:val="17"/>
                <w:szCs w:val="17"/>
              </w:rPr>
              <w:t xml:space="preserve">Une installation déclarée « démonstration » annonce sur CHAQUE écran, y compris avant toute connexion, qu'elle porte des données fictives, qu'elle est effacée périodiquement, et qu'elle n'est pas une installation qualifiée. L'avertissement ne se ferme pas. Le mode est éteint par défaut et n'accepte qu'une valeur explicite. Il ne modifie RIEN de ce que le logiciel enregistre : aucun module produisant des données ou des documents n'en dépend.</w:t>
            </w:r>
          </w:p>
        </w:tc>
        <w:tc>
          <w:tcPr>
            <w:tcW w:type="pct" w:w="28%"/>
            <w:tcMar>
              <w:top w:type="dxa" w:w="80"/>
              <w:left w:type="dxa" w:w="110"/>
              <w:bottom w:type="dxa" w:w="80"/>
              <w:right w:type="dxa" w:w="110"/>
            </w:tcMar>
          </w:tcPr>
          <w:p>
            <w:pPr>
              <w:spacing w:after="0"/>
            </w:pPr>
            <w:r>
              <w:rPr>
                <w:sz w:val="17"/>
                <w:szCs w:val="17"/>
              </w:rPr>
              <w:t xml:space="preserve">Une instance publique est identique à une vraie — c'est l'intérêt même d'une démonstration, et c'est ce qui la rend trompeuse. Un visiteur qui y dépose un dossier de conception réel le rend public ET le perd à la remise à zéro suivante ; un visiteur qui prend l'instance pour une installation qualifiée s'appuie sur des signatures qui ne valent rien. L'avertissement doit donc apparaître AVANT la connexion, puisque c'est là que la décision de déposer un fichier se prend. En sens inverse, un mode qui s'allumerait par une variable mal recopiée ferait porter « données fictives » à toutes les captures d'écran du dossier de validation d'un client.</w:t>
            </w:r>
          </w:p>
        </w:tc>
        <w:tc>
          <w:tcPr>
            <w:tcW w:type="pct" w:w="20%"/>
            <w:tcMar>
              <w:top w:type="dxa" w:w="80"/>
              <w:left w:type="dxa" w:w="110"/>
              <w:bottom w:type="dxa" w:w="80"/>
              <w:right w:type="dxa" w:w="110"/>
            </w:tcMar>
          </w:tcPr>
          <w:p>
            <w:pPr>
              <w:spacing w:after="0"/>
            </w:pPr>
            <w:r>
              <w:rPr>
                <w:sz w:val="17"/>
                <w:szCs w:val="17"/>
              </w:rPr>
              <w:t xml:space="preserve">21 CFR 11.10(a) · ALCOA+ — attribuable et exact · ISO 13485 §4.2.4</w:t>
            </w:r>
          </w:p>
        </w:tc>
      </w:tr>
      <w:tr>
        <w:tc>
          <w:tcPr>
            <w:tcW w:type="pct" w:w="11%"/>
            <w:shd w:fill="F8FAFC"/>
            <w:tcMar>
              <w:top w:type="dxa" w:w="80"/>
              <w:left w:type="dxa" w:w="110"/>
              <w:bottom w:type="dxa" w:w="80"/>
              <w:right w:type="dxa" w:w="110"/>
            </w:tcMar>
          </w:tcPr>
          <w:p>
            <w:pPr>
              <w:spacing w:after="60"/>
            </w:pPr>
            <w:r>
              <w:rPr>
                <w:b/>
                <w:bCs/>
                <w:color w:val="4338CA"/>
                <w:sz w:val="17"/>
                <w:szCs w:val="17"/>
              </w:rPr>
              <w:t xml:space="preserve">URS-42</w:t>
            </w:r>
          </w:p>
          <w:p>
            <w:pPr>
              <w:spacing w:after="0"/>
            </w:pPr>
            <w:r>
              <w:rPr>
                <w:b/>
                <w:bCs/>
                <w:color w:val="B45309"/>
                <w:sz w:val="15"/>
                <w:szCs w:val="15"/>
              </w:rPr>
              <w:t xml:space="preserve">Moyen</w:t>
            </w:r>
          </w:p>
        </w:tc>
        <w:tc>
          <w:tcPr>
            <w:tcW w:type="pct" w:w="41%"/>
            <w:tcMar>
              <w:top w:type="dxa" w:w="80"/>
              <w:left w:type="dxa" w:w="110"/>
              <w:bottom w:type="dxa" w:w="80"/>
              <w:right w:type="dxa" w:w="110"/>
            </w:tcMar>
          </w:tcPr>
          <w:p>
            <w:pPr>
              <w:spacing w:after="0"/>
            </w:pPr>
            <w:r>
              <w:rPr>
                <w:sz w:val="17"/>
                <w:szCs w:val="17"/>
              </w:rPr>
              <w:t xml:space="preserve">La vue par programme porte une ligne pour ce qui n'est rattaché à AUCUN programme, et rapproche chaque indicateur d'un total demandé séparément à la base — jamais obtenu en additionnant ses propres lignes. Tout écart est affiché au lieu d'être tu. Les documents dont le programme contredit celui de leur activité sont nommés. La règle « exigence couverte » y est celle du reste du produit.</w:t>
            </w:r>
          </w:p>
        </w:tc>
        <w:tc>
          <w:tcPr>
            <w:tcW w:type="pct" w:w="28%"/>
            <w:tcMar>
              <w:top w:type="dxa" w:w="80"/>
              <w:left w:type="dxa" w:w="110"/>
              <w:bottom w:type="dxa" w:w="80"/>
              <w:right w:type="dxa" w:w="110"/>
            </w:tcMar>
          </w:tcPr>
          <w:p>
            <w:pPr>
              <w:spacing w:after="0"/>
            </w:pPr>
            <w:r>
              <w:rPr>
                <w:sz w:val="17"/>
                <w:szCs w:val="17"/>
              </w:rPr>
              <w:t xml:space="preserve">Le rattachement à un programme est facultatif presque partout dans le schéma. Un tableau qui ne listerait que les programmes montrerait donc une organisation en ordre pendant qu'une partie du dossier n'y figure nulle part — chaque ligne étant juste prise séparément, personne ne le verrait. C'est la faute déjà commise ici avec un taux de couverture à 100 % affiché au-dessus de trente-sept exigences que rien ne couvrait : le taux était juste, son dénominateur ne l'était pas. Un tableau qui se contrôlerait en additionnant ses propres lignes ne pourrait jamais se contredire, donc ne prouverait rien. Et une seconde définition de « couverte » ferait dire à l'écran autre chose qu'au dossier technique exporté, sans qu'on puisse savoir lequel ment.</w:t>
            </w:r>
          </w:p>
        </w:tc>
        <w:tc>
          <w:tcPr>
            <w:tcW w:type="pct" w:w="20%"/>
            <w:tcMar>
              <w:top w:type="dxa" w:w="80"/>
              <w:left w:type="dxa" w:w="110"/>
              <w:bottom w:type="dxa" w:w="80"/>
              <w:right w:type="dxa" w:w="110"/>
            </w:tcMar>
          </w:tcPr>
          <w:p>
            <w:pPr>
              <w:spacing w:after="0"/>
            </w:pPr>
            <w:r>
              <w:rPr>
                <w:sz w:val="17"/>
                <w:szCs w:val="17"/>
              </w:rPr>
              <w:t xml:space="preserve">ISO 13485 §4.2.3 · 21 CFR 820.30(j) · ALCOA+ — complet</w:t>
            </w:r>
          </w:p>
        </w:tc>
      </w:tr>
      <w:tr>
        <w:tc>
          <w:tcPr>
            <w:tcW w:type="pct" w:w="11%"/>
            <w:shd w:fill="F8FAFC"/>
            <w:tcMar>
              <w:top w:type="dxa" w:w="80"/>
              <w:left w:type="dxa" w:w="110"/>
              <w:bottom w:type="dxa" w:w="80"/>
              <w:right w:type="dxa" w:w="110"/>
            </w:tcMar>
          </w:tcPr>
          <w:p>
            <w:pPr>
              <w:spacing w:after="60"/>
            </w:pPr>
            <w:r>
              <w:rPr>
                <w:b/>
                <w:bCs/>
                <w:color w:val="4338CA"/>
                <w:sz w:val="17"/>
                <w:szCs w:val="17"/>
              </w:rPr>
              <w:t xml:space="preserve">URS-43</w:t>
            </w:r>
          </w:p>
          <w:p>
            <w:pPr>
              <w:spacing w:after="0"/>
            </w:pPr>
            <w:r>
              <w:rPr>
                <w:b/>
                <w:bCs/>
                <w:color w:val="DC2626"/>
                <w:sz w:val="15"/>
                <w:szCs w:val="15"/>
              </w:rPr>
              <w:t xml:space="preserve">Haut</w:t>
            </w:r>
          </w:p>
        </w:tc>
        <w:tc>
          <w:tcPr>
            <w:tcW w:type="pct" w:w="41%"/>
            <w:tcMar>
              <w:top w:type="dxa" w:w="80"/>
              <w:left w:type="dxa" w:w="110"/>
              <w:bottom w:type="dxa" w:w="80"/>
              <w:right w:type="dxa" w:w="110"/>
            </w:tcMar>
          </w:tcPr>
          <w:p>
            <w:pPr>
              <w:spacing w:after="0"/>
            </w:pPr>
            <w:r>
              <w:rPr>
                <w:sz w:val="17"/>
                <w:szCs w:val="17"/>
              </w:rPr>
              <w:t xml:space="preserve">La reprise d'un classeur ou d'un document déplie les cellules fusionnées : la valeur d'une fusion verticale est reprise sur les lignes qu'elle couvre, et une fusion horizontale ne décale aucune colonne sans être recopiée dans les champs voisins. Les feuilles sont nommées quel que soit le producteur du fichier. Les dates sont rendues lisibles. Une formule sans valeur calculée est comptée et signalée au lieu de rendre une cellule vide. Tout ce que l'extraction a fait ou n'a pas pu faire est affiché AVANT le choix du tableau.</w:t>
            </w:r>
          </w:p>
        </w:tc>
        <w:tc>
          <w:tcPr>
            <w:tcW w:type="pct" w:w="28%"/>
            <w:tcMar>
              <w:top w:type="dxa" w:w="80"/>
              <w:left w:type="dxa" w:w="110"/>
              <w:bottom w:type="dxa" w:w="80"/>
              <w:right w:type="dxa" w:w="110"/>
            </w:tcMar>
          </w:tcPr>
          <w:p>
            <w:pPr>
              <w:spacing w:after="0"/>
            </w:pPr>
            <w:r>
              <w:rPr>
                <w:sz w:val="17"/>
                <w:szCs w:val="17"/>
              </w:rPr>
              <w:t xml:space="preserve">Une matrice de traçabilité range presque toujours une exigence en face de plusieurs spécifications en fusionnant sa cellule. La valeur n'existe qu'UNE FOIS dans le fichier : sans dépliage, les lignes suivantes arrivent sans code d'exigence, et l'import les rejette — ou les crée rattachées à rien. Une fusion horizontale n'écrit qu'une cellule pour plusieurs colonnes : sans complément, toute la fin de la ligne se décale et le statut atterrit dans la colonne du responsable. Ces deux défauts sont SILENCIEUX : le fichier a l'air repris, le compte de lignes est juste, et l'erreur ne se découvre qu'à la revue du dossier. Une formule dont la valeur n'a pas été calculée produit une cellule vide qu'aucun signe ne distingue d'une cellule réellement vide.</w:t>
            </w:r>
          </w:p>
        </w:tc>
        <w:tc>
          <w:tcPr>
            <w:tcW w:type="pct" w:w="20%"/>
            <w:tcMar>
              <w:top w:type="dxa" w:w="80"/>
              <w:left w:type="dxa" w:w="110"/>
              <w:bottom w:type="dxa" w:w="80"/>
              <w:right w:type="dxa" w:w="110"/>
            </w:tcMar>
          </w:tcPr>
          <w:p>
            <w:pPr>
              <w:spacing w:after="0"/>
            </w:pPr>
            <w:r>
              <w:rPr>
                <w:sz w:val="17"/>
                <w:szCs w:val="17"/>
              </w:rPr>
              <w:t xml:space="preserve">21 CFR 11.10(a) · ALCOA+ — exact et complet · ISO 13485 §7.3.3</w:t>
            </w:r>
          </w:p>
        </w:tc>
      </w:tr>
      <w:tr>
        <w:tc>
          <w:tcPr>
            <w:tcW w:type="pct" w:w="11%"/>
            <w:shd w:fill="F8FAFC"/>
            <w:tcMar>
              <w:top w:type="dxa" w:w="80"/>
              <w:left w:type="dxa" w:w="110"/>
              <w:bottom w:type="dxa" w:w="80"/>
              <w:right w:type="dxa" w:w="110"/>
            </w:tcMar>
          </w:tcPr>
          <w:p>
            <w:pPr>
              <w:spacing w:after="60"/>
            </w:pPr>
            <w:r>
              <w:rPr>
                <w:b/>
                <w:bCs/>
                <w:color w:val="4338CA"/>
                <w:sz w:val="17"/>
                <w:szCs w:val="17"/>
              </w:rPr>
              <w:t xml:space="preserve">URS-44</w:t>
            </w:r>
          </w:p>
          <w:p>
            <w:pPr>
              <w:spacing w:after="0"/>
            </w:pPr>
            <w:r>
              <w:rPr>
                <w:b/>
                <w:bCs/>
                <w:color w:val="DC2626"/>
                <w:sz w:val="15"/>
                <w:szCs w:val="15"/>
              </w:rPr>
              <w:t xml:space="preserve">Haut</w:t>
            </w:r>
          </w:p>
        </w:tc>
        <w:tc>
          <w:tcPr>
            <w:tcW w:type="pct" w:w="41%"/>
            <w:tcMar>
              <w:top w:type="dxa" w:w="80"/>
              <w:left w:type="dxa" w:w="110"/>
              <w:bottom w:type="dxa" w:w="80"/>
              <w:right w:type="dxa" w:w="110"/>
            </w:tcMar>
          </w:tcPr>
          <w:p>
            <w:pPr>
              <w:spacing w:after="0"/>
            </w:pPr>
            <w:r>
              <w:rPr>
                <w:sz w:val="17"/>
                <w:szCs w:val="17"/>
              </w:rPr>
              <w:t xml:space="preserve">L'authentification déléguée à un annuaire ouvre une SESSION et rien d'autre : le second composant de signature reste un secret local, redemandé à chaque apposition, et aucun module du chemin de signature ne dépend du SSO. Un jeton d'identité n'est accepté qu'après vérification de sa signature RS256, de son émetteur, de son destinataire, de sa péremption et de son nonce. Aucune personne n'est créée depuis l'annuaire. Quand l'installation n'ouvre les sessions que par l'annuaire, le refus de la connexion locale est appliqué côté serveur.</w:t>
            </w:r>
          </w:p>
        </w:tc>
        <w:tc>
          <w:tcPr>
            <w:tcW w:type="pct" w:w="28%"/>
            <w:tcMar>
              <w:top w:type="dxa" w:w="80"/>
              <w:left w:type="dxa" w:w="110"/>
              <w:bottom w:type="dxa" w:w="80"/>
              <w:right w:type="dxa" w:w="110"/>
            </w:tcMar>
          </w:tcPr>
          <w:p>
            <w:pPr>
              <w:spacing w:after="0"/>
            </w:pPr>
            <w:r>
              <w:rPr>
                <w:sz w:val="17"/>
                <w:szCs w:val="17"/>
              </w:rPr>
              <w:t xml:space="preserve">21 CFR 11.200(a)(1) exige deux composants d'identification distincts à la signature. Déléguer la connexion retire le second : l'installation ne voit plus aucun secret de l'utilisateur. Renvoyer vers l'annuaire à chaque signature ne le rétablit pas — le fournisseur peut réémettre un jeton sans avoir challengé qui que ce soit, sur la foi de sa propre session, et le logiciel n'a aucun moyen de distinguer les deux cas : on revendiquerait un composant invérifiable. Côté jeton, « alg: none » et la confusion RS256/HS256 ouvrent une session sous l'identité de n'importe qui ; un nonce non vérifié permet de rejouer un jeton obtenu ailleurs. Et créer une personne parce qu'un annuaire l'a nommée transférerait à cet annuaire la vérification d'identité du §11.100(b) et la formation du §11.10(i), rendant attribuable à quelqu'un une signature que personne n'a habilitée.</w:t>
            </w:r>
          </w:p>
        </w:tc>
        <w:tc>
          <w:tcPr>
            <w:tcW w:type="pct" w:w="20%"/>
            <w:tcMar>
              <w:top w:type="dxa" w:w="80"/>
              <w:left w:type="dxa" w:w="110"/>
              <w:bottom w:type="dxa" w:w="80"/>
              <w:right w:type="dxa" w:w="110"/>
            </w:tcMar>
          </w:tcPr>
          <w:p>
            <w:pPr>
              <w:spacing w:after="0"/>
            </w:pPr>
            <w:r>
              <w:rPr>
                <w:sz w:val="17"/>
                <w:szCs w:val="17"/>
              </w:rPr>
              <w:t xml:space="preserve">21 CFR 11.200(a)(1) · 21 CFR 11.100(b) · 21 CFR 11.10(d) · 21 CFR 11.300(d)</w:t>
            </w:r>
          </w:p>
        </w:tc>
      </w:tr>
      <w:tr>
        <w:tc>
          <w:tcPr>
            <w:tcW w:type="pct" w:w="11%"/>
            <w:shd w:fill="F8FAFC"/>
            <w:tcMar>
              <w:top w:type="dxa" w:w="80"/>
              <w:left w:type="dxa" w:w="110"/>
              <w:bottom w:type="dxa" w:w="80"/>
              <w:right w:type="dxa" w:w="110"/>
            </w:tcMar>
          </w:tcPr>
          <w:p>
            <w:pPr>
              <w:spacing w:after="60"/>
            </w:pPr>
            <w:r>
              <w:rPr>
                <w:b/>
                <w:bCs/>
                <w:color w:val="4338CA"/>
                <w:sz w:val="17"/>
                <w:szCs w:val="17"/>
              </w:rPr>
              <w:t xml:space="preserve">URS-45</w:t>
            </w:r>
          </w:p>
          <w:p>
            <w:pPr>
              <w:spacing w:after="0"/>
            </w:pPr>
            <w:r>
              <w:rPr>
                <w:b/>
                <w:bCs/>
                <w:color w:val="B45309"/>
                <w:sz w:val="15"/>
                <w:szCs w:val="15"/>
              </w:rPr>
              <w:t xml:space="preserve">Moyen</w:t>
            </w:r>
          </w:p>
        </w:tc>
        <w:tc>
          <w:tcPr>
            <w:tcW w:type="pct" w:w="41%"/>
            <w:tcMar>
              <w:top w:type="dxa" w:w="80"/>
              <w:left w:type="dxa" w:w="110"/>
              <w:bottom w:type="dxa" w:w="80"/>
              <w:right w:type="dxa" w:w="110"/>
            </w:tcMar>
          </w:tcPr>
          <w:p>
            <w:pPr>
              <w:spacing w:after="0"/>
            </w:pPr>
            <w:r>
              <w:rPr>
                <w:sz w:val="17"/>
                <w:szCs w:val="17"/>
              </w:rPr>
              <w:t xml:space="preserve">Les points du logiciel dont le comportement dépend du MOTEUR de base de données — et non de la base — sont inventoriés, et l'inventaire est relu sur la source à chaque version : un point apparu hors de l'inventaire fait échouer le contrôle. Le logiciel est qualifié sur le moteur que le dossier de validation nomme, et ne revendique aucun autre.</w:t>
            </w:r>
          </w:p>
        </w:tc>
        <w:tc>
          <w:tcPr>
            <w:tcW w:type="pct" w:w="28%"/>
            <w:tcMar>
              <w:top w:type="dxa" w:w="80"/>
              <w:left w:type="dxa" w:w="110"/>
              <w:bottom w:type="dxa" w:w="80"/>
              <w:right w:type="dxa" w:w="110"/>
            </w:tcMar>
          </w:tcPr>
          <w:p>
            <w:pPr>
              <w:spacing w:after="0"/>
            </w:pPr>
            <w:r>
              <w:rPr>
                <w:sz w:val="17"/>
                <w:szCs w:val="17"/>
              </w:rPr>
              <w:t xml:space="preserve">Un moteur fournit gratuitement des propriétés que le code ne demande jamais, et qui deviennent invisibles précisément parce qu'elles fonctionnent. Le chaînage de la piste d'audit lit la tête puis écrit : la continuité des maillons repose sur le fait que le moteur n'admet qu'un écrivain à la fois, ce qui n'est écrit nulle part dans le code. Les recherches par « contains » ignorent la casse pour la même raison — sous un autre moteur elles cesseraient de trouver, sans erreur, ce qui est pire qu'une panne. Ces dépendances se découvriraient chez un client, en production, sur les fonctions qui font foi. Un inventaire rédigé dans un document se périme au premier ajout ; relu sur la source, il ne le peut pas.</w:t>
            </w:r>
          </w:p>
        </w:tc>
        <w:tc>
          <w:tcPr>
            <w:tcW w:type="pct" w:w="20%"/>
            <w:tcMar>
              <w:top w:type="dxa" w:w="80"/>
              <w:left w:type="dxa" w:w="110"/>
              <w:bottom w:type="dxa" w:w="80"/>
              <w:right w:type="dxa" w:w="110"/>
            </w:tcMar>
          </w:tcPr>
          <w:p>
            <w:pPr>
              <w:spacing w:after="0"/>
            </w:pPr>
            <w:r>
              <w:rPr>
                <w:sz w:val="17"/>
                <w:szCs w:val="17"/>
              </w:rPr>
              <w:t xml:space="preserve">21 CFR 11.10(a) · GAMP 5 — infrastructure qualifiée · ISO 13485 §4.1.6</w:t>
            </w:r>
          </w:p>
        </w:tc>
      </w:tr>
      <w:tr>
        <w:tc>
          <w:tcPr>
            <w:tcW w:type="pct" w:w="11%"/>
            <w:shd w:fill="F8FAFC"/>
            <w:tcMar>
              <w:top w:type="dxa" w:w="80"/>
              <w:left w:type="dxa" w:w="110"/>
              <w:bottom w:type="dxa" w:w="80"/>
              <w:right w:type="dxa" w:w="110"/>
            </w:tcMar>
          </w:tcPr>
          <w:p>
            <w:pPr>
              <w:spacing w:after="60"/>
            </w:pPr>
            <w:r>
              <w:rPr>
                <w:b/>
                <w:bCs/>
                <w:color w:val="4338CA"/>
                <w:sz w:val="17"/>
                <w:szCs w:val="17"/>
              </w:rPr>
              <w:t xml:space="preserve">URS-46</w:t>
            </w:r>
          </w:p>
          <w:p>
            <w:pPr>
              <w:spacing w:after="0"/>
            </w:pPr>
            <w:r>
              <w:rPr>
                <w:b/>
                <w:bCs/>
                <w:color w:val="DC2626"/>
                <w:sz w:val="15"/>
                <w:szCs w:val="15"/>
              </w:rPr>
              <w:t xml:space="preserve">Haut</w:t>
            </w:r>
          </w:p>
        </w:tc>
        <w:tc>
          <w:tcPr>
            <w:tcW w:type="pct" w:w="41%"/>
            <w:tcMar>
              <w:top w:type="dxa" w:w="80"/>
              <w:left w:type="dxa" w:w="110"/>
              <w:bottom w:type="dxa" w:w="80"/>
              <w:right w:type="dxa" w:w="110"/>
            </w:tcMar>
          </w:tcPr>
          <w:p>
            <w:pPr>
              <w:spacing w:after="0"/>
            </w:pPr>
            <w:r>
              <w:rPr>
                <w:sz w:val="17"/>
                <w:szCs w:val="17"/>
              </w:rPr>
              <w:t xml:space="preserve">L'accès applicatif au dossier est en LECTURE SEULE : aucune route de l'API n'écrit dans le graphe de conception, et la propriété est établie en relisant la source. Chaque route passe par une garde unique qui exige un jeton, journalise l'accès au nom de ce jeton, et refuse sans distinguer un jeton absent d'un jeton révoqué. Le jeton n'est conservé que par son empreinte. Chaque réponse porte l'empreinte de ses données et l'ancrage de la chaîne d'audit à l'instant de l'extraction, selon une règle de calcul écrite dans la réponse elle-même.</w:t>
            </w:r>
          </w:p>
        </w:tc>
        <w:tc>
          <w:tcPr>
            <w:tcW w:type="pct" w:w="28%"/>
            <w:tcMar>
              <w:top w:type="dxa" w:w="80"/>
              <w:left w:type="dxa" w:w="110"/>
              <w:bottom w:type="dxa" w:w="80"/>
              <w:right w:type="dxa" w:w="110"/>
            </w:tcMar>
          </w:tcPr>
          <w:p>
            <w:pPr>
              <w:spacing w:after="0"/>
            </w:pPr>
            <w:r>
              <w:rPr>
                <w:sz w:val="17"/>
                <w:szCs w:val="17"/>
              </w:rPr>
              <w:t xml:space="preserve">Une porte d'écriture ouverte à une machine contournerait tout ce qui fait la valeur du dossier : le cycle de vie, le gel du contenu, la signature. Une donnée entrée par un script ne serait attribuable à personne, et l'affirmation « le graphe est la seule porte d'entrée » deviendrait fausse sans que rien ne le signale. La propriété doit donc être relue dans la source à chaque version, pas promise. Côté sortie, un export qui quitte le système cesse d'être vérifiable : sans empreinte le destinataire ne peut pas établir qu'il détient le document produit, et sans ancrage il ne peut pas dire à quel état du dossier il correspond — devant un écart six mois plus tard, c'est l'exploitant qui porte le doute. Et un jeton conservé en clair serait réutilisable par quiconque atteint la base, sans que personne ne le change jamais : contrairement à un mot de passe, un script ne se plaint pas.</w:t>
            </w:r>
          </w:p>
        </w:tc>
        <w:tc>
          <w:tcPr>
            <w:tcW w:type="pct" w:w="20%"/>
            <w:tcMar>
              <w:top w:type="dxa" w:w="80"/>
              <w:left w:type="dxa" w:w="110"/>
              <w:bottom w:type="dxa" w:w="80"/>
              <w:right w:type="dxa" w:w="110"/>
            </w:tcMar>
          </w:tcPr>
          <w:p>
            <w:pPr>
              <w:spacing w:after="0"/>
            </w:pPr>
            <w:r>
              <w:rPr>
                <w:sz w:val="17"/>
                <w:szCs w:val="17"/>
              </w:rPr>
              <w:t xml:space="preserve">21 CFR 11.10(a) · 21 CFR 11.10(d) · 21 CFR 11.10(e) · ALCOA+ — attribuable et exact</w:t>
            </w:r>
          </w:p>
        </w:tc>
      </w:tr>
      <w:tr>
        <w:tc>
          <w:tcPr>
            <w:tcW w:type="pct" w:w="11%"/>
            <w:shd w:fill="F8FAFC"/>
            <w:tcMar>
              <w:top w:type="dxa" w:w="80"/>
              <w:left w:type="dxa" w:w="110"/>
              <w:bottom w:type="dxa" w:w="80"/>
              <w:right w:type="dxa" w:w="110"/>
            </w:tcMar>
          </w:tcPr>
          <w:p>
            <w:pPr>
              <w:spacing w:after="60"/>
            </w:pPr>
            <w:r>
              <w:rPr>
                <w:b/>
                <w:bCs/>
                <w:color w:val="4338CA"/>
                <w:sz w:val="17"/>
                <w:szCs w:val="17"/>
              </w:rPr>
              <w:t xml:space="preserve">URS-47</w:t>
            </w:r>
          </w:p>
          <w:p>
            <w:pPr>
              <w:spacing w:after="0"/>
            </w:pPr>
            <w:r>
              <w:rPr>
                <w:b/>
                <w:bCs/>
                <w:color w:val="B45309"/>
                <w:sz w:val="15"/>
                <w:szCs w:val="15"/>
              </w:rPr>
              <w:t xml:space="preserve">Moyen</w:t>
            </w:r>
          </w:p>
        </w:tc>
        <w:tc>
          <w:tcPr>
            <w:tcW w:type="pct" w:w="41%"/>
            <w:tcMar>
              <w:top w:type="dxa" w:w="80"/>
              <w:left w:type="dxa" w:w="110"/>
              <w:bottom w:type="dxa" w:w="80"/>
              <w:right w:type="dxa" w:w="110"/>
            </w:tcMar>
          </w:tcPr>
          <w:p>
            <w:pPr>
              <w:spacing w:after="0"/>
            </w:pPr>
            <w:r>
              <w:rPr>
                <w:sz w:val="17"/>
                <w:szCs w:val="17"/>
              </w:rPr>
              <w:t xml:space="preserve">La conformité PDF/A des copies d'archivage est établie par un VALIDATEUR INDÉPENDANT — veraPDF, l'implémentation de référence — et non par les seuls contrôles de Filum. La vérification s'exécute sur un document bâti pour la mettre en défaut, et le harnais porte un témoin délibérément non conforme : si le validateur laisse passer le témoin, aucun autre résultat de l'exécution n'est retenu. Tout caractère absent de la police embarquée est remplacé — jamais rendu par le glyphe .notdef, que le format interdit — et chaque copie DÉCLARE les substitutions qu'elle porte.</w:t>
            </w:r>
          </w:p>
        </w:tc>
        <w:tc>
          <w:tcPr>
            <w:tcW w:type="pct" w:w="28%"/>
            <w:tcMar>
              <w:top w:type="dxa" w:w="80"/>
              <w:left w:type="dxa" w:w="110"/>
              <w:bottom w:type="dxa" w:w="80"/>
              <w:right w:type="dxa" w:w="110"/>
            </w:tcMar>
          </w:tcPr>
          <w:p>
            <w:pPr>
              <w:spacing w:after="0"/>
            </w:pPr>
            <w:r>
              <w:rPr>
                <w:sz w:val="17"/>
                <w:szCs w:val="17"/>
              </w:rPr>
              <w:t xml:space="preserve">Un vérificateur écrit par l'auteur du code partage exactement ses angles morts : ce qu'on n'a pas pensé à produire, on ne pense pas non plus à le chercher. La démonstration n'est pas théorique — le contrôle structurel de Filum a déclaré conformes, du 6 au 9 août 2026, des enregistrements qui référençaient le glyphe .notdef, et veraPDF l'a trouvé au premier passage sur 4 fichiers de 15. Le risque propre n'est pas le format : c'est qu'une archive remise à une inspection porte des métadonnées affirmant une conformité que personne d'extérieur n'a mesurée. Le témoin répond au risque symétrique — un harnais qui ne sait plus dire « non conforme » rendrait un vert permanent, c'est-à-dire un garde décoratif.</w:t>
            </w:r>
          </w:p>
        </w:tc>
        <w:tc>
          <w:tcPr>
            <w:tcW w:type="pct" w:w="20%"/>
            <w:tcMar>
              <w:top w:type="dxa" w:w="80"/>
              <w:left w:type="dxa" w:w="110"/>
              <w:bottom w:type="dxa" w:w="80"/>
              <w:right w:type="dxa" w:w="110"/>
            </w:tcMar>
          </w:tcPr>
          <w:p>
            <w:pPr>
              <w:spacing w:after="0"/>
            </w:pPr>
            <w:r>
              <w:rPr>
                <w:sz w:val="17"/>
                <w:szCs w:val="17"/>
              </w:rPr>
              <w:t xml:space="preserve">21 CFR 11.10(b) · 21 CFR 11.10(c) · ISO 19005-2:2011</w:t>
            </w:r>
          </w:p>
        </w:tc>
      </w:tr>
      <w:tr>
        <w:tc>
          <w:tcPr>
            <w:tcW w:type="pct" w:w="11%"/>
            <w:shd w:fill="F8FAFC"/>
            <w:tcMar>
              <w:top w:type="dxa" w:w="80"/>
              <w:left w:type="dxa" w:w="110"/>
              <w:bottom w:type="dxa" w:w="80"/>
              <w:right w:type="dxa" w:w="110"/>
            </w:tcMar>
          </w:tcPr>
          <w:p>
            <w:pPr>
              <w:spacing w:after="60"/>
            </w:pPr>
            <w:r>
              <w:rPr>
                <w:b/>
                <w:bCs/>
                <w:color w:val="4338CA"/>
                <w:sz w:val="17"/>
                <w:szCs w:val="17"/>
              </w:rPr>
              <w:t xml:space="preserve">URS-48</w:t>
            </w:r>
          </w:p>
          <w:p>
            <w:pPr>
              <w:spacing w:after="0"/>
            </w:pPr>
            <w:r>
              <w:rPr>
                <w:b/>
                <w:bCs/>
                <w:color w:val="B45309"/>
                <w:sz w:val="15"/>
                <w:szCs w:val="15"/>
              </w:rPr>
              <w:t xml:space="preserve">Moyen</w:t>
            </w:r>
          </w:p>
        </w:tc>
        <w:tc>
          <w:tcPr>
            <w:tcW w:type="pct" w:w="41%"/>
            <w:tcMar>
              <w:top w:type="dxa" w:w="80"/>
              <w:left w:type="dxa" w:w="110"/>
              <w:bottom w:type="dxa" w:w="80"/>
              <w:right w:type="dxa" w:w="110"/>
            </w:tcMar>
          </w:tcPr>
          <w:p>
            <w:pPr>
              <w:spacing w:after="0"/>
            </w:pPr>
            <w:r>
              <w:rPr>
                <w:sz w:val="17"/>
                <w:szCs w:val="17"/>
              </w:rPr>
              <w:t xml:space="preserve">Un document peut declarer une DATE D ENTREE EN VIGUEUR distincte de son approbation et une PERIODICITE DE REVUE. A la publication, Filum pose l entree en vigueur et calcule l echeance de la prochaine revue. Une revue periodique se consigne avec sa CONCLUSION — reste applicable, ou doit etre revise — et repousse l echeance depuis la date de la revue. Le retard sur l echeance precedente est inscrit dans la piste d audit AVANT d etre remplace. Un document qui ne declare AUCUNE periodicite n acquiert jamais d echeance et n apparait dans aucun compteur.</w:t>
            </w:r>
          </w:p>
        </w:tc>
        <w:tc>
          <w:tcPr>
            <w:tcW w:type="pct" w:w="28%"/>
            <w:tcMar>
              <w:top w:type="dxa" w:w="80"/>
              <w:left w:type="dxa" w:w="110"/>
              <w:bottom w:type="dxa" w:w="80"/>
              <w:right w:type="dxa" w:w="110"/>
            </w:tcMar>
          </w:tcPr>
          <w:p>
            <w:pPr>
              <w:spacing w:after="0"/>
            </w:pPr>
            <w:r>
              <w:rPr>
                <w:sz w:val="17"/>
                <w:szCs w:val="17"/>
              </w:rPr>
              <w:t xml:space="preserve">Sans revue periodique, une procedure approuvee reste indefiniment « a jour » : elle a l air parfaitement en regle, et c est precisement ce qui la rend invisible. C est un constat d audit classique sous ISO 13485 §4.2.4. La date d entree en vigueur repond au meme besoin par l autre bout : approuver et rendre applicable sont deux actes distincts — le temps de former les gens — et les confondre fait dire au dossier que la procedure s appliquait avant que quiconque en ait eu connaissance. Le risque symetrique est le bruit : faire apparaitre une echeance sur un rapport d essai fige remplirait de faux devoirs un ecran dont la valeur tient a ce qu il n en porte pas. D ou une periodicite FACULTATIVE, et un document sans periodicite qui reste totalement muet.</w:t>
            </w:r>
          </w:p>
        </w:tc>
        <w:tc>
          <w:tcPr>
            <w:tcW w:type="pct" w:w="20%"/>
            <w:tcMar>
              <w:top w:type="dxa" w:w="80"/>
              <w:left w:type="dxa" w:w="110"/>
              <w:bottom w:type="dxa" w:w="80"/>
              <w:right w:type="dxa" w:w="110"/>
            </w:tcMar>
          </w:tcPr>
          <w:p>
            <w:pPr>
              <w:spacing w:after="0"/>
            </w:pPr>
            <w:r>
              <w:rPr>
                <w:sz w:val="17"/>
                <w:szCs w:val="17"/>
              </w:rPr>
              <w:t xml:space="preserve">ISO 13485 §4.2.4 · 21 CFR 11.10(a) · 21 CFR 11.10(e) · Annexe 11 §4</w:t>
            </w:r>
          </w:p>
        </w:tc>
      </w:tr>
      <w:tr>
        <w:tc>
          <w:tcPr>
            <w:tcW w:type="pct" w:w="11%"/>
            <w:shd w:fill="F8FAFC"/>
            <w:tcMar>
              <w:top w:type="dxa" w:w="80"/>
              <w:left w:type="dxa" w:w="110"/>
              <w:bottom w:type="dxa" w:w="80"/>
              <w:right w:type="dxa" w:w="110"/>
            </w:tcMar>
          </w:tcPr>
          <w:p>
            <w:pPr>
              <w:spacing w:after="60"/>
            </w:pPr>
            <w:r>
              <w:rPr>
                <w:b/>
                <w:bCs/>
                <w:color w:val="4338CA"/>
                <w:sz w:val="17"/>
                <w:szCs w:val="17"/>
              </w:rPr>
              <w:t xml:space="preserve">URS-49</w:t>
            </w:r>
          </w:p>
          <w:p>
            <w:pPr>
              <w:spacing w:after="0"/>
            </w:pPr>
            <w:r>
              <w:rPr>
                <w:b/>
                <w:bCs/>
                <w:color w:val="B45309"/>
                <w:sz w:val="15"/>
                <w:szCs w:val="15"/>
              </w:rPr>
              <w:t xml:space="preserve">Moyen</w:t>
            </w:r>
          </w:p>
        </w:tc>
        <w:tc>
          <w:tcPr>
            <w:tcW w:type="pct" w:w="41%"/>
            <w:tcMar>
              <w:top w:type="dxa" w:w="80"/>
              <w:left w:type="dxa" w:w="110"/>
              <w:bottom w:type="dxa" w:w="80"/>
              <w:right w:type="dxa" w:w="110"/>
            </w:tcMar>
          </w:tcPr>
          <w:p>
            <w:pPr>
              <w:spacing w:after="0"/>
            </w:pPr>
            <w:r>
              <w:rPr>
                <w:sz w:val="17"/>
                <w:szCs w:val="17"/>
              </w:rPr>
              <w:t xml:space="preserve">Un document peut porter une LISTE DE DIFFUSION nommant les personnes qui doivent l avoir lu. Chaque destinataire ACCUSE RECEPTION lui-meme, et pour lui seul : aucun chemin ne permet d accuser a la place d un autre. Un accuse vaut pour UNE REVISION — ouvrir une revision marque les lignes depassees, en cree de neuves pour les memes destinataires, et remet donc tout le monde en attente sans effacer ce qui avait ete lu de la revision precedente. L etat de diffusion compte a part les destinataires desactives : ni acquittes, ni exigibles. Filum n envoie rien.</w:t>
            </w:r>
          </w:p>
        </w:tc>
        <w:tc>
          <w:tcPr>
            <w:tcW w:type="pct" w:w="28%"/>
            <w:tcMar>
              <w:top w:type="dxa" w:w="80"/>
              <w:left w:type="dxa" w:w="110"/>
              <w:bottom w:type="dxa" w:w="80"/>
              <w:right w:type="dxa" w:w="110"/>
            </w:tcMar>
          </w:tcPr>
          <w:p>
            <w:pPr>
              <w:spacing w:after="0"/>
            </w:pPr>
            <w:r>
              <w:rPr>
                <w:sz w:val="17"/>
                <w:szCs w:val="17"/>
              </w:rPr>
              <w:t xml:space="preserve">L ISO 13485 §4.2.4 exige que la version en vigueur soit disponible aux points d usage et que les versions perimees ne soient pas employees par inadvertance. Une procedure publiee dont personne ne sait si elle a atteint quiconque ne repond a aucune des deux exigences, et le defaut est invisible : le document a l air parfaitement en regle. Le risque symetrique est l accuse de complaisance — si un tiers peut accuser a la place d un operateur, l enregistrement porte un nom sans que l interesse ait rien lu, ce qui est pire qu une absence d accuse : il est trompeur. D ou la regle « on n accuse que pour soi », la meme qui gouverne la signature. Enfin, un accuse qui survivrait a une revision ferait passer pour lue une version que personne n a ouverte, ce qui retournerait la fonction contre son objet.</w:t>
            </w:r>
          </w:p>
        </w:tc>
        <w:tc>
          <w:tcPr>
            <w:tcW w:type="pct" w:w="20%"/>
            <w:tcMar>
              <w:top w:type="dxa" w:w="80"/>
              <w:left w:type="dxa" w:w="110"/>
              <w:bottom w:type="dxa" w:w="80"/>
              <w:right w:type="dxa" w:w="110"/>
            </w:tcMar>
          </w:tcPr>
          <w:p>
            <w:pPr>
              <w:spacing w:after="0"/>
            </w:pPr>
            <w:r>
              <w:rPr>
                <w:sz w:val="17"/>
                <w:szCs w:val="17"/>
              </w:rPr>
              <w:t xml:space="preserve">ISO 13485 §4.2.4 · 21 CFR 11.10(d) · 21 CFR 11.200(a)(3) · ALCOA+ — attribuable</w:t>
            </w:r>
          </w:p>
        </w:tc>
      </w:tr>
    </w:tbl>
    <w:p>
      <w:pPr>
        <w:pStyle w:val="Heading2"/>
        <w:spacing w:after="140" w:before="320"/>
      </w:pPr>
      <w:r>
        <w:t xml:space="preserve">4. Analyse de risque logiciel</w:t>
      </w:r>
    </w:p>
    <w:p>
      <w:pPr>
        <w:spacing w:after="140"/>
      </w:pPr>
      <w:r>
        <w:rPr>
          <w:sz w:val="20"/>
          <w:szCs w:val="20"/>
        </w:rPr>
        <w:t xml:space="preserve">Répartition : 29 exigences à risque haut, 18 à risque moyen, 2 à risque bas. Les exigences à risque haut touchent toutes à l'intégrité ou à l'attribution des enregistrements : leur défaillance ne dégrade pas le confort d'usage, elle rend un enregistrement indéfendable. Elles font l'objet de cas de test dédiés, exécutés à chaque version.</w:t>
      </w:r>
    </w:p>
    <w:p>
      <w:pPr>
        <w:spacing w:after="160"/>
      </w:pPr>
      <w:r>
        <w:rPr>
          <w:sz w:val="20"/>
          <w:szCs w:val="20"/>
        </w:rPr>
        <w:t xml:space="preserve">Aucune exigence de ce dossier ne porte sur une fonction de décision clinique : Filum n'interprète pas de résultat patient et ne pilote aucun dispositif. Le moteur de performance analytique calcule des grandeurs statistiques dont la CONCLUSION reste prononcée par un humain, qui la signe.</w:t>
      </w:r>
    </w:p>
    <w:p>
      <w:pPr>
        <w:pStyle w:val="Heading1"/>
        <w:spacing w:after="140" w:before="320"/>
      </w:pPr>
      <w:r>
        <w:t xml:space="preserve">5. Rapport de qualification opérationnelle (OQ)</w:t>
      </w:r>
    </w:p>
    <w:p>
      <w:pPr>
        <w:spacing w:after="140"/>
      </w:pPr>
      <w:r>
        <w:rPr>
          <w:sz w:val="20"/>
          <w:szCs w:val="20"/>
        </w:rPr>
        <w:t xml:space="preserve">Les cas ci-dessous ont été exécutés par l'éditeur contre le code livré, sur une base de données créée pour l'occasion puis détruite. Ils appellent les mêmes fonctions que l'application — pas des copies écrites pour la circonstance.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6%"/>
            <w:shd w:fill="E0E7FF"/>
            <w:tcMar>
              <w:top w:type="dxa" w:w="80"/>
              <w:left w:type="dxa" w:w="110"/>
              <w:bottom w:type="dxa" w:w="80"/>
              <w:right w:type="dxa" w:w="110"/>
            </w:tcMar>
          </w:tcPr>
          <w:p>
            <w:pPr>
              <w:spacing w:after="0"/>
            </w:pPr>
            <w:r>
              <w:rPr>
                <w:b/>
                <w:bCs/>
                <w:sz w:val="17"/>
                <w:szCs w:val="17"/>
              </w:rPr>
              <w:t xml:space="preserve">Exécution</w:t>
            </w:r>
          </w:p>
        </w:tc>
        <w:tc>
          <w:tcPr>
            <w:tcW w:type="pct" w:w="74%"/>
            <w:shd w:fill="E0E7FF"/>
            <w:tcMar>
              <w:top w:type="dxa" w:w="80"/>
              <w:left w:type="dxa" w:w="110"/>
              <w:bottom w:type="dxa" w:w="80"/>
              <w:right w:type="dxa" w:w="110"/>
            </w:tcMar>
          </w:tcPr>
          <w:p>
            <w:pPr>
              <w:spacing w:after="0"/>
            </w:pPr>
            <w:r>
              <w:rPr>
                <w:b/>
                <w:bCs/>
                <w:sz w:val="17"/>
                <w:szCs w:val="17"/>
              </w:rPr>
              <w:t xml:space="preserve">Contexte</w:t>
            </w:r>
          </w:p>
        </w:tc>
      </w:tr>
      <w:tr>
        <w:tc>
          <w:tcPr>
            <w:tcW w:type="pct" w:w="26%"/>
            <w:tcMar>
              <w:top w:type="dxa" w:w="80"/>
              <w:left w:type="dxa" w:w="110"/>
              <w:bottom w:type="dxa" w:w="80"/>
              <w:right w:type="dxa" w:w="110"/>
            </w:tcMar>
          </w:tcPr>
          <w:p>
            <w:pPr>
              <w:spacing w:after="0"/>
            </w:pPr>
            <w:r>
              <w:rPr>
                <w:b/>
                <w:bCs/>
                <w:sz w:val="17"/>
                <w:szCs w:val="17"/>
              </w:rPr>
              <w:t xml:space="preserve">Date et heure (UTC)</w:t>
            </w:r>
          </w:p>
        </w:tc>
        <w:tc>
          <w:tcPr>
            <w:tcW w:type="pct" w:w="74%"/>
            <w:tcMar>
              <w:top w:type="dxa" w:w="80"/>
              <w:left w:type="dxa" w:w="110"/>
              <w:bottom w:type="dxa" w:w="80"/>
              <w:right w:type="dxa" w:w="110"/>
            </w:tcMar>
          </w:tcPr>
          <w:p>
            <w:pPr>
              <w:spacing w:after="0"/>
            </w:pPr>
            <w:r>
              <w:rPr>
                <w:sz w:val="17"/>
                <w:szCs w:val="17"/>
              </w:rPr>
              <w:t xml:space="preserve">1 octobre 2026 à 11:08</w:t>
            </w:r>
          </w:p>
        </w:tc>
      </w:tr>
      <w:tr>
        <w:tc>
          <w:tcPr>
            <w:tcW w:type="pct" w:w="26%"/>
            <w:tcMar>
              <w:top w:type="dxa" w:w="80"/>
              <w:left w:type="dxa" w:w="110"/>
              <w:bottom w:type="dxa" w:w="80"/>
              <w:right w:type="dxa" w:w="110"/>
            </w:tcMar>
          </w:tcPr>
          <w:p>
            <w:pPr>
              <w:spacing w:after="0"/>
            </w:pPr>
            <w:r>
              <w:rPr>
                <w:b/>
                <w:bCs/>
                <w:sz w:val="17"/>
                <w:szCs w:val="17"/>
              </w:rPr>
              <w:t xml:space="preserve">Version du logiciel</w:t>
            </w:r>
          </w:p>
        </w:tc>
        <w:tc>
          <w:tcPr>
            <w:tcW w:type="pct" w:w="74%"/>
            <w:tcMar>
              <w:top w:type="dxa" w:w="80"/>
              <w:left w:type="dxa" w:w="110"/>
              <w:bottom w:type="dxa" w:w="80"/>
              <w:right w:type="dxa" w:w="110"/>
            </w:tcMar>
          </w:tcPr>
          <w:p>
            <w:pPr>
              <w:spacing w:after="0"/>
            </w:pPr>
            <w:r>
              <w:rPr>
                <w:sz w:val="17"/>
                <w:szCs w:val="17"/>
              </w:rPr>
              <w:t xml:space="preserve">1.2.1</w:t>
            </w:r>
          </w:p>
        </w:tc>
      </w:tr>
      <w:tr>
        <w:tc>
          <w:tcPr>
            <w:tcW w:type="pct" w:w="26%"/>
            <w:tcMar>
              <w:top w:type="dxa" w:w="80"/>
              <w:left w:type="dxa" w:w="110"/>
              <w:bottom w:type="dxa" w:w="80"/>
              <w:right w:type="dxa" w:w="110"/>
            </w:tcMar>
          </w:tcPr>
          <w:p>
            <w:pPr>
              <w:spacing w:after="0"/>
            </w:pPr>
            <w:r>
              <w:rPr>
                <w:b/>
                <w:bCs/>
                <w:sz w:val="17"/>
                <w:szCs w:val="17"/>
              </w:rPr>
              <w:t xml:space="preserve">Plateforme</w:t>
            </w:r>
          </w:p>
        </w:tc>
        <w:tc>
          <w:tcPr>
            <w:tcW w:type="pct" w:w="74%"/>
            <w:tcMar>
              <w:top w:type="dxa" w:w="80"/>
              <w:left w:type="dxa" w:w="110"/>
              <w:bottom w:type="dxa" w:w="80"/>
              <w:right w:type="dxa" w:w="110"/>
            </w:tcMar>
          </w:tcPr>
          <w:p>
            <w:pPr>
              <w:spacing w:after="0"/>
            </w:pPr>
            <w:r>
              <w:rPr>
                <w:sz w:val="17"/>
                <w:szCs w:val="17"/>
              </w:rPr>
              <w:t xml:space="preserve">Windows_NT 10.0.26200 (x64)</w:t>
            </w:r>
          </w:p>
        </w:tc>
      </w:tr>
      <w:tr>
        <w:tc>
          <w:tcPr>
            <w:tcW w:type="pct" w:w="26%"/>
            <w:tcMar>
              <w:top w:type="dxa" w:w="80"/>
              <w:left w:type="dxa" w:w="110"/>
              <w:bottom w:type="dxa" w:w="80"/>
              <w:right w:type="dxa" w:w="110"/>
            </w:tcMar>
          </w:tcPr>
          <w:p>
            <w:pPr>
              <w:spacing w:after="0"/>
            </w:pPr>
            <w:r>
              <w:rPr>
                <w:b/>
                <w:bCs/>
                <w:sz w:val="17"/>
                <w:szCs w:val="17"/>
              </w:rPr>
              <w:t xml:space="preserve">Environnement d'exécution</w:t>
            </w:r>
          </w:p>
        </w:tc>
        <w:tc>
          <w:tcPr>
            <w:tcW w:type="pct" w:w="74%"/>
            <w:tcMar>
              <w:top w:type="dxa" w:w="80"/>
              <w:left w:type="dxa" w:w="110"/>
              <w:bottom w:type="dxa" w:w="80"/>
              <w:right w:type="dxa" w:w="110"/>
            </w:tcMar>
          </w:tcPr>
          <w:p>
            <w:pPr>
              <w:spacing w:after="0"/>
            </w:pPr>
            <w:r>
              <w:rPr>
                <w:sz w:val="17"/>
                <w:szCs w:val="17"/>
              </w:rPr>
              <w:t xml:space="preserve">Node.js v24.18.0</w:t>
            </w:r>
          </w:p>
        </w:tc>
      </w:tr>
      <w:tr>
        <w:tc>
          <w:tcPr>
            <w:tcW w:type="pct" w:w="26%"/>
            <w:tcMar>
              <w:top w:type="dxa" w:w="80"/>
              <w:left w:type="dxa" w:w="110"/>
              <w:bottom w:type="dxa" w:w="80"/>
              <w:right w:type="dxa" w:w="110"/>
            </w:tcMar>
          </w:tcPr>
          <w:p>
            <w:pPr>
              <w:spacing w:after="0"/>
            </w:pPr>
            <w:r>
              <w:rPr>
                <w:b/>
                <w:bCs/>
                <w:sz w:val="17"/>
                <w:szCs w:val="17"/>
              </w:rPr>
              <w:t xml:space="preserve">Résultat</w:t>
            </w:r>
          </w:p>
        </w:tc>
        <w:tc>
          <w:tcPr>
            <w:tcW w:type="pct" w:w="74%"/>
            <w:tcMar>
              <w:top w:type="dxa" w:w="80"/>
              <w:left w:type="dxa" w:w="110"/>
              <w:bottom w:type="dxa" w:w="80"/>
              <w:right w:type="dxa" w:w="110"/>
            </w:tcMar>
          </w:tcPr>
          <w:p>
            <w:pPr>
              <w:spacing w:after="0"/>
            </w:pPr>
            <w:r>
              <w:rPr>
                <w:b/>
                <w:bCs/>
                <w:color w:val="047857"/>
                <w:sz w:val="17"/>
                <w:szCs w:val="17"/>
              </w:rPr>
              <w:t xml:space="preserve">46 cas sur 46 conformes — aucun écart</w:t>
            </w:r>
          </w:p>
        </w:tc>
      </w:tr>
    </w:tbl>
    <w:p>
      <w:pPr>
        <w:pStyle w:val="Heading2"/>
        <w:spacing w:after="140" w:before="320"/>
      </w:pPr>
      <w:r>
        <w:t xml:space="preserve">5.1 Détail des cas exécutés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3%"/>
            <w:shd w:fill="E0E7FF"/>
            <w:tcMar>
              <w:top w:type="dxa" w:w="80"/>
              <w:left w:type="dxa" w:w="110"/>
              <w:bottom w:type="dxa" w:w="80"/>
              <w:right w:type="dxa" w:w="110"/>
            </w:tcMar>
          </w:tcPr>
          <w:p>
            <w:pPr>
              <w:spacing w:after="0"/>
            </w:pPr>
            <w:r>
              <w:rPr>
                <w:b/>
                <w:bCs/>
                <w:sz w:val="17"/>
                <w:szCs w:val="17"/>
              </w:rPr>
              <w:t xml:space="preserve">Cas / exigence</w:t>
            </w:r>
          </w:p>
        </w:tc>
        <w:tc>
          <w:tcPr>
            <w:tcW w:type="pct" w:w="30%"/>
            <w:shd w:fill="E0E7FF"/>
            <w:tcMar>
              <w:top w:type="dxa" w:w="80"/>
              <w:left w:type="dxa" w:w="110"/>
              <w:bottom w:type="dxa" w:w="80"/>
              <w:right w:type="dxa" w:w="110"/>
            </w:tcMar>
          </w:tcPr>
          <w:p>
            <w:pPr>
              <w:spacing w:after="0"/>
            </w:pPr>
            <w:r>
              <w:rPr>
                <w:b/>
                <w:bCs/>
                <w:sz w:val="17"/>
                <w:szCs w:val="17"/>
              </w:rPr>
              <w:t xml:space="preserve">Objet du contrôle</w:t>
            </w:r>
          </w:p>
        </w:tc>
        <w:tc>
          <w:tcPr>
            <w:tcW w:type="pct" w:w="45%"/>
            <w:shd w:fill="E0E7FF"/>
            <w:tcMar>
              <w:top w:type="dxa" w:w="80"/>
              <w:left w:type="dxa" w:w="110"/>
              <w:bottom w:type="dxa" w:w="80"/>
              <w:right w:type="dxa" w:w="110"/>
            </w:tcMar>
          </w:tcPr>
          <w:p>
            <w:pPr>
              <w:spacing w:after="0"/>
            </w:pPr>
            <w:r>
              <w:rPr>
                <w:b/>
                <w:bCs/>
                <w:sz w:val="17"/>
                <w:szCs w:val="17"/>
              </w:rPr>
              <w:t xml:space="preserve">Preuve observée</w:t>
            </w:r>
          </w:p>
        </w:tc>
        <w:tc>
          <w:tcPr>
            <w:tcW w:type="pct" w:w="12%"/>
            <w:shd w:fill="E0E7FF"/>
            <w:tcMar>
              <w:top w:type="dxa" w:w="80"/>
              <w:left w:type="dxa" w:w="110"/>
              <w:bottom w:type="dxa" w:w="80"/>
              <w:right w:type="dxa" w:w="110"/>
            </w:tcMar>
          </w:tcPr>
          <w:p>
            <w:pPr>
              <w:spacing w:after="0"/>
            </w:pPr>
            <w:r>
              <w:rPr>
                <w:b/>
                <w:bCs/>
                <w:sz w:val="17"/>
                <w:szCs w:val="17"/>
              </w:rPr>
              <w:t xml:space="preserve">Verdict</w:t>
            </w:r>
          </w:p>
        </w:tc>
      </w:tr>
      <w:tr>
        <w:tc>
          <w:tcPr>
            <w:tcW w:type="pct" w:w="13%"/>
            <w:shd w:fill="F8FAFC"/>
            <w:tcMar>
              <w:top w:type="dxa" w:w="80"/>
              <w:left w:type="dxa" w:w="110"/>
              <w:bottom w:type="dxa" w:w="80"/>
              <w:right w:type="dxa" w:w="110"/>
            </w:tcMar>
          </w:tcPr>
          <w:p>
            <w:pPr>
              <w:spacing w:after="50"/>
            </w:pPr>
            <w:r>
              <w:rPr>
                <w:b/>
                <w:bCs/>
                <w:color w:val="4338CA"/>
                <w:sz w:val="17"/>
                <w:szCs w:val="17"/>
              </w:rPr>
              <w:t xml:space="preserve">OQ-01</w:t>
            </w:r>
          </w:p>
          <w:p>
            <w:pPr>
              <w:spacing w:after="0"/>
            </w:pPr>
            <w:r>
              <w:rPr>
                <w:color w:val="475569"/>
                <w:sz w:val="15"/>
                <w:szCs w:val="15"/>
              </w:rPr>
              <w:t xml:space="preserve">URS-02</w:t>
            </w:r>
          </w:p>
        </w:tc>
        <w:tc>
          <w:tcPr>
            <w:tcW w:type="pct" w:w="30%"/>
            <w:tcMar>
              <w:top w:type="dxa" w:w="80"/>
              <w:left w:type="dxa" w:w="110"/>
              <w:bottom w:type="dxa" w:w="80"/>
              <w:right w:type="dxa" w:w="110"/>
            </w:tcMar>
          </w:tcPr>
          <w:p>
            <w:pPr>
              <w:spacing w:after="50"/>
            </w:pPr>
            <w:r>
              <w:rPr>
                <w:b/>
                <w:bCs/>
                <w:sz w:val="17"/>
                <w:szCs w:val="17"/>
              </w:rPr>
              <w:t xml:space="preserve">Table de vérité complète des contrôles d'autorité</w:t>
            </w:r>
          </w:p>
          <w:p>
            <w:pPr>
              <w:spacing w:after="0"/>
            </w:pPr>
            <w:r>
              <w:rPr>
                <w:color w:val="475569"/>
                <w:sz w:val="15"/>
                <w:szCs w:val="15"/>
              </w:rPr>
              <w:t xml:space="preserve">Vérifier que la hiérarchie des rôles autorise exactement ce qu'elle doit, pour les quatre rôles et les trois seuils.</w:t>
            </w:r>
          </w:p>
        </w:tc>
        <w:tc>
          <w:tcPr>
            <w:tcW w:type="pct" w:w="45%"/>
            <w:tcMar>
              <w:top w:type="dxa" w:w="80"/>
              <w:left w:type="dxa" w:w="110"/>
              <w:bottom w:type="dxa" w:w="80"/>
              <w:right w:type="dxa" w:w="110"/>
            </w:tcMar>
          </w:tcPr>
          <w:p>
            <w:pPr>
              <w:spacing w:after="0"/>
            </w:pPr>
            <w:r>
              <w:rPr>
                <w:sz w:val="17"/>
                <w:szCs w:val="17"/>
              </w:rPr>
              <w:t xml:space="preserve">12 combinaisons rôle × seuil conformes : Viewer/Editor=non, Viewer/Approver=non, Viewer/Admin=non, Editor/Editor=oui, Editor/Approver=non, Editor/Admin=non, Approver/Editor=oui, Approver/Approver=oui, Approver/Admin=non, Admin/Editor=oui, Admin/Approver=oui, Admin/Admin=oui</w:t>
            </w:r>
          </w:p>
        </w:tc>
        <w:tc>
          <w:tcPr>
            <w:tcW w:type="pct" w:w="12%"/>
            <w:tcMar>
              <w:top w:type="dxa" w:w="80"/>
              <w:left w:type="dxa" w:w="110"/>
              <w:bottom w:type="dxa" w:w="80"/>
              <w:right w:type="dxa" w:w="110"/>
            </w:tcMar>
          </w:tcPr>
          <w:p>
            <w:pPr>
              <w:spacing w:after="40"/>
            </w:pPr>
            <w:r>
              <w:rPr>
                <w:b/>
                <w:bCs/>
                <w:color w:val="047857"/>
                <w:sz w:val="17"/>
                <w:szCs w:val="17"/>
              </w:rPr>
              <w:t xml:space="preserve">Conforme</w:t>
            </w:r>
          </w:p>
          <w:p>
            <w:pPr>
              <w:spacing w:after="0"/>
            </w:pPr>
            <w:r>
              <w:rPr>
                <w:color w:val="475569"/>
                <w:sz w:val="14"/>
                <w:szCs w:val="14"/>
              </w:rPr>
              <w:t xml:space="preserve">1 ms</w:t>
            </w:r>
          </w:p>
        </w:tc>
      </w:tr>
      <w:tr>
        <w:tc>
          <w:tcPr>
            <w:tcW w:type="pct" w:w="13%"/>
            <w:shd w:fill="F8FAFC"/>
            <w:tcMar>
              <w:top w:type="dxa" w:w="80"/>
              <w:left w:type="dxa" w:w="110"/>
              <w:bottom w:type="dxa" w:w="80"/>
              <w:right w:type="dxa" w:w="110"/>
            </w:tcMar>
          </w:tcPr>
          <w:p>
            <w:pPr>
              <w:spacing w:after="50"/>
            </w:pPr>
            <w:r>
              <w:rPr>
                <w:b/>
                <w:bCs/>
                <w:color w:val="4338CA"/>
                <w:sz w:val="17"/>
                <w:szCs w:val="17"/>
              </w:rPr>
              <w:t xml:space="preserve">OQ-02</w:t>
            </w:r>
          </w:p>
          <w:p>
            <w:pPr>
              <w:spacing w:after="0"/>
            </w:pPr>
            <w:r>
              <w:rPr>
                <w:color w:val="475569"/>
                <w:sz w:val="15"/>
                <w:szCs w:val="15"/>
              </w:rPr>
              <w:t xml:space="preserve">URS-06</w:t>
            </w:r>
          </w:p>
        </w:tc>
        <w:tc>
          <w:tcPr>
            <w:tcW w:type="pct" w:w="30%"/>
            <w:tcMar>
              <w:top w:type="dxa" w:w="80"/>
              <w:left w:type="dxa" w:w="110"/>
              <w:bottom w:type="dxa" w:w="80"/>
              <w:right w:type="dxa" w:w="110"/>
            </w:tcMar>
          </w:tcPr>
          <w:p>
            <w:pPr>
              <w:spacing w:after="50"/>
            </w:pPr>
            <w:r>
              <w:rPr>
                <w:b/>
                <w:bCs/>
                <w:sz w:val="17"/>
                <w:szCs w:val="17"/>
              </w:rPr>
              <w:t xml:space="preserve">Dérivation et vérification du mot de passe</w:t>
            </w:r>
          </w:p>
          <w:p>
            <w:pPr>
              <w:spacing w:after="0"/>
            </w:pPr>
            <w:r>
              <w:rPr>
                <w:color w:val="475569"/>
                <w:sz w:val="15"/>
                <w:szCs w:val="15"/>
              </w:rPr>
              <w:t xml:space="preserve">Vérifier qu'un mot de passe n'est jamais conservé en clair, que le sel est unique par empreinte et que la vérification distingue le bon du mauvais.</w:t>
            </w:r>
          </w:p>
        </w:tc>
        <w:tc>
          <w:tcPr>
            <w:tcW w:type="pct" w:w="45%"/>
            <w:tcMar>
              <w:top w:type="dxa" w:w="80"/>
              <w:left w:type="dxa" w:w="110"/>
              <w:bottom w:type="dxa" w:w="80"/>
              <w:right w:type="dxa" w:w="110"/>
            </w:tcMar>
          </w:tcPr>
          <w:p>
            <w:pPr>
              <w:spacing w:after="0"/>
            </w:pPr>
            <w:r>
              <w:rPr>
                <w:sz w:val="17"/>
                <w:szCs w:val="17"/>
              </w:rPr>
              <w:t xml:space="preserve">empreintes distinctes pour un même mot de passe (fe488bf36dd7… ≠ 2703706101f5…), vérification correcte, mot de passe faux et vide refusés</w:t>
            </w:r>
          </w:p>
        </w:tc>
        <w:tc>
          <w:tcPr>
            <w:tcW w:type="pct" w:w="12%"/>
            <w:tcMar>
              <w:top w:type="dxa" w:w="80"/>
              <w:left w:type="dxa" w:w="110"/>
              <w:bottom w:type="dxa" w:w="80"/>
              <w:right w:type="dxa" w:w="110"/>
            </w:tcMar>
          </w:tcPr>
          <w:p>
            <w:pPr>
              <w:spacing w:after="40"/>
            </w:pPr>
            <w:r>
              <w:rPr>
                <w:b/>
                <w:bCs/>
                <w:color w:val="047857"/>
                <w:sz w:val="17"/>
                <w:szCs w:val="17"/>
              </w:rPr>
              <w:t xml:space="preserve">Conforme</w:t>
            </w:r>
          </w:p>
          <w:p>
            <w:pPr>
              <w:spacing w:after="0"/>
            </w:pPr>
            <w:r>
              <w:rPr>
                <w:color w:val="475569"/>
                <w:sz w:val="14"/>
                <w:szCs w:val="14"/>
              </w:rPr>
              <w:t xml:space="preserve">168 ms</w:t>
            </w:r>
          </w:p>
        </w:tc>
      </w:tr>
      <w:tr>
        <w:tc>
          <w:tcPr>
            <w:tcW w:type="pct" w:w="13%"/>
            <w:shd w:fill="F8FAFC"/>
            <w:tcMar>
              <w:top w:type="dxa" w:w="80"/>
              <w:left w:type="dxa" w:w="110"/>
              <w:bottom w:type="dxa" w:w="80"/>
              <w:right w:type="dxa" w:w="110"/>
            </w:tcMar>
          </w:tcPr>
          <w:p>
            <w:pPr>
              <w:spacing w:after="50"/>
            </w:pPr>
            <w:r>
              <w:rPr>
                <w:b/>
                <w:bCs/>
                <w:color w:val="4338CA"/>
                <w:sz w:val="17"/>
                <w:szCs w:val="17"/>
              </w:rPr>
              <w:t xml:space="preserve">OQ-03</w:t>
            </w:r>
          </w:p>
          <w:p>
            <w:pPr>
              <w:spacing w:after="0"/>
            </w:pPr>
            <w:r>
              <w:rPr>
                <w:color w:val="475569"/>
                <w:sz w:val="15"/>
                <w:szCs w:val="15"/>
              </w:rPr>
              <w:t xml:space="preserve">URS-07</w:t>
            </w:r>
          </w:p>
        </w:tc>
        <w:tc>
          <w:tcPr>
            <w:tcW w:type="pct" w:w="30%"/>
            <w:tcMar>
              <w:top w:type="dxa" w:w="80"/>
              <w:left w:type="dxa" w:w="110"/>
              <w:bottom w:type="dxa" w:w="80"/>
              <w:right w:type="dxa" w:w="110"/>
            </w:tcMar>
          </w:tcPr>
          <w:p>
            <w:pPr>
              <w:spacing w:after="50"/>
            </w:pPr>
            <w:r>
              <w:rPr>
                <w:b/>
                <w:bCs/>
                <w:sz w:val="17"/>
                <w:szCs w:val="17"/>
              </w:rPr>
              <w:t xml:space="preserve">Contenu de la manifestation de signature</w:t>
            </w:r>
          </w:p>
          <w:p>
            <w:pPr>
              <w:spacing w:after="0"/>
            </w:pPr>
            <w:r>
              <w:rPr>
                <w:color w:val="475569"/>
                <w:sz w:val="15"/>
                <w:szCs w:val="15"/>
              </w:rPr>
              <w:t xml:space="preserve">Vérifier que la chaîne conservée avec la signature porte le nom imprimé, la signification et l'horodatage UTC.</w:t>
            </w:r>
          </w:p>
        </w:tc>
        <w:tc>
          <w:tcPr>
            <w:tcW w:type="pct" w:w="45%"/>
            <w:tcMar>
              <w:top w:type="dxa" w:w="80"/>
              <w:left w:type="dxa" w:w="110"/>
              <w:bottom w:type="dxa" w:w="80"/>
              <w:right w:type="dxa" w:w="110"/>
            </w:tcMar>
          </w:tcPr>
          <w:p>
            <w:pPr>
              <w:spacing w:after="0"/>
            </w:pPr>
            <w:r>
              <w:rPr>
                <w:sz w:val="17"/>
                <w:szCs w:val="17"/>
              </w:rPr>
              <w:t xml:space="preserve">manifestation « Hélène Vasseur (HVA) · Approuvé · 04/03/2026 08:09:10 UTC » ; signification inconnue rendue verbatim</w:t>
            </w:r>
          </w:p>
        </w:tc>
        <w:tc>
          <w:tcPr>
            <w:tcW w:type="pct" w:w="12%"/>
            <w:tcMar>
              <w:top w:type="dxa" w:w="80"/>
              <w:left w:type="dxa" w:w="110"/>
              <w:bottom w:type="dxa" w:w="80"/>
              <w:right w:type="dxa" w:w="110"/>
            </w:tcMar>
          </w:tcPr>
          <w:p>
            <w:pPr>
              <w:spacing w:after="40"/>
            </w:pPr>
            <w:r>
              <w:rPr>
                <w:b/>
                <w:bCs/>
                <w:color w:val="047857"/>
                <w:sz w:val="17"/>
                <w:szCs w:val="17"/>
              </w:rPr>
              <w:t xml:space="preserve">Conforme</w:t>
            </w:r>
          </w:p>
          <w:p>
            <w:pPr>
              <w:spacing w:after="0"/>
            </w:pPr>
            <w:r>
              <w:rPr>
                <w:color w:val="475569"/>
                <w:sz w:val="14"/>
                <w:szCs w:val="14"/>
              </w:rPr>
              <w:t xml:space="preserve">15 ms</w:t>
            </w:r>
          </w:p>
        </w:tc>
      </w:tr>
      <w:tr>
        <w:tc>
          <w:tcPr>
            <w:tcW w:type="pct" w:w="13%"/>
            <w:shd w:fill="F8FAFC"/>
            <w:tcMar>
              <w:top w:type="dxa" w:w="80"/>
              <w:left w:type="dxa" w:w="110"/>
              <w:bottom w:type="dxa" w:w="80"/>
              <w:right w:type="dxa" w:w="110"/>
            </w:tcMar>
          </w:tcPr>
          <w:p>
            <w:pPr>
              <w:spacing w:after="50"/>
            </w:pPr>
            <w:r>
              <w:rPr>
                <w:b/>
                <w:bCs/>
                <w:color w:val="4338CA"/>
                <w:sz w:val="17"/>
                <w:szCs w:val="17"/>
              </w:rPr>
              <w:t xml:space="preserve">OQ-04</w:t>
            </w:r>
          </w:p>
          <w:p>
            <w:pPr>
              <w:spacing w:after="0"/>
            </w:pPr>
            <w:r>
              <w:rPr>
                <w:color w:val="475569"/>
                <w:sz w:val="15"/>
                <w:szCs w:val="15"/>
              </w:rPr>
              <w:t xml:space="preserve">URS-09</w:t>
            </w:r>
          </w:p>
        </w:tc>
        <w:tc>
          <w:tcPr>
            <w:tcW w:type="pct" w:w="30%"/>
            <w:tcMar>
              <w:top w:type="dxa" w:w="80"/>
              <w:left w:type="dxa" w:w="110"/>
              <w:bottom w:type="dxa" w:w="80"/>
              <w:right w:type="dxa" w:w="110"/>
            </w:tcMar>
          </w:tcPr>
          <w:p>
            <w:pPr>
              <w:spacing w:after="50"/>
            </w:pPr>
            <w:r>
              <w:rPr>
                <w:b/>
                <w:bCs/>
                <w:sz w:val="17"/>
                <w:szCs w:val="17"/>
              </w:rPr>
              <w:t xml:space="preserve">Gel du contenu à la mise en revue</w:t>
            </w:r>
          </w:p>
          <w:p>
            <w:pPr>
              <w:spacing w:after="0"/>
            </w:pPr>
            <w:r>
              <w:rPr>
                <w:color w:val="475569"/>
                <w:sz w:val="15"/>
                <w:szCs w:val="15"/>
              </w:rPr>
              <w:t xml:space="preserve">Vérifier que la mise en revue calcule l'empreinte du contenu, conserve le fichier produit et journalise l'opération.</w:t>
            </w:r>
          </w:p>
        </w:tc>
        <w:tc>
          <w:tcPr>
            <w:tcW w:type="pct" w:w="45%"/>
            <w:tcMar>
              <w:top w:type="dxa" w:w="80"/>
              <w:left w:type="dxa" w:w="110"/>
              <w:bottom w:type="dxa" w:w="80"/>
              <w:right w:type="dxa" w:w="110"/>
            </w:tcMar>
          </w:tcPr>
          <w:p>
            <w:pPr>
              <w:spacing w:after="0"/>
            </w:pPr>
            <w:r>
              <w:rPr>
                <w:sz w:val="17"/>
                <w:szCs w:val="17"/>
              </w:rPr>
              <w:t xml:space="preserve">contenu gelé, empreinte 24604eb157d7fa54…, 10487 octets conservés, opération journalisée</w:t>
            </w:r>
          </w:p>
        </w:tc>
        <w:tc>
          <w:tcPr>
            <w:tcW w:type="pct" w:w="12%"/>
            <w:tcMar>
              <w:top w:type="dxa" w:w="80"/>
              <w:left w:type="dxa" w:w="110"/>
              <w:bottom w:type="dxa" w:w="80"/>
              <w:right w:type="dxa" w:w="110"/>
            </w:tcMar>
          </w:tcPr>
          <w:p>
            <w:pPr>
              <w:spacing w:after="40"/>
            </w:pPr>
            <w:r>
              <w:rPr>
                <w:b/>
                <w:bCs/>
                <w:color w:val="047857"/>
                <w:sz w:val="17"/>
                <w:szCs w:val="17"/>
              </w:rPr>
              <w:t xml:space="preserve">Conforme</w:t>
            </w:r>
          </w:p>
          <w:p>
            <w:pPr>
              <w:spacing w:after="0"/>
            </w:pPr>
            <w:r>
              <w:rPr>
                <w:color w:val="475569"/>
                <w:sz w:val="14"/>
                <w:szCs w:val="14"/>
              </w:rPr>
              <w:t xml:space="preserve">151 ms</w:t>
            </w:r>
          </w:p>
        </w:tc>
      </w:tr>
      <w:tr>
        <w:tc>
          <w:tcPr>
            <w:tcW w:type="pct" w:w="13%"/>
            <w:shd w:fill="F8FAFC"/>
            <w:tcMar>
              <w:top w:type="dxa" w:w="80"/>
              <w:left w:type="dxa" w:w="110"/>
              <w:bottom w:type="dxa" w:w="80"/>
              <w:right w:type="dxa" w:w="110"/>
            </w:tcMar>
          </w:tcPr>
          <w:p>
            <w:pPr>
              <w:spacing w:after="50"/>
            </w:pPr>
            <w:r>
              <w:rPr>
                <w:b/>
                <w:bCs/>
                <w:color w:val="4338CA"/>
                <w:sz w:val="17"/>
                <w:szCs w:val="17"/>
              </w:rPr>
              <w:t xml:space="preserve">OQ-05</w:t>
            </w:r>
          </w:p>
          <w:p>
            <w:pPr>
              <w:spacing w:after="0"/>
            </w:pPr>
            <w:r>
              <w:rPr>
                <w:color w:val="475569"/>
                <w:sz w:val="15"/>
                <w:szCs w:val="15"/>
              </w:rPr>
              <w:t xml:space="preserve">URS-08</w:t>
            </w:r>
          </w:p>
        </w:tc>
        <w:tc>
          <w:tcPr>
            <w:tcW w:type="pct" w:w="30%"/>
            <w:tcMar>
              <w:top w:type="dxa" w:w="80"/>
              <w:left w:type="dxa" w:w="110"/>
              <w:bottom w:type="dxa" w:w="80"/>
              <w:right w:type="dxa" w:w="110"/>
            </w:tcMar>
          </w:tcPr>
          <w:p>
            <w:pPr>
              <w:spacing w:after="50"/>
            </w:pPr>
            <w:r>
              <w:rPr>
                <w:b/>
                <w:bCs/>
                <w:sz w:val="17"/>
                <w:szCs w:val="17"/>
              </w:rPr>
              <w:t xml:space="preserve">Liaison de la signature à l'enregistrement</w:t>
            </w:r>
          </w:p>
          <w:p>
            <w:pPr>
              <w:spacing w:after="0"/>
            </w:pPr>
            <w:r>
              <w:rPr>
                <w:color w:val="475569"/>
                <w:sz w:val="15"/>
                <w:szCs w:val="15"/>
              </w:rPr>
              <w:t xml:space="preserve">Vérifier que la signature recopie l'empreinte du contenu gelé et référence l'instantané correspondant.</w:t>
            </w:r>
          </w:p>
        </w:tc>
        <w:tc>
          <w:tcPr>
            <w:tcW w:type="pct" w:w="45%"/>
            <w:tcMar>
              <w:top w:type="dxa" w:w="80"/>
              <w:left w:type="dxa" w:w="110"/>
              <w:bottom w:type="dxa" w:w="80"/>
              <w:right w:type="dxa" w:w="110"/>
            </w:tcMar>
          </w:tcPr>
          <w:p>
            <w:pPr>
              <w:spacing w:after="0"/>
            </w:pPr>
            <w:r>
              <w:rPr>
                <w:sz w:val="17"/>
                <w:szCs w:val="17"/>
              </w:rPr>
              <w:t xml:space="preserve">signature liée à l'instantané cmupfkb5…, empreinte attestée 3767 CD80 ACC9, manifestation « Testeur QA1 (QA1) · Approuvé · 01/10/2026 11:07:56 UTC · enregistrement 3767 CD80 ACC9 »</w:t>
            </w:r>
          </w:p>
        </w:tc>
        <w:tc>
          <w:tcPr>
            <w:tcW w:type="pct" w:w="12%"/>
            <w:tcMar>
              <w:top w:type="dxa" w:w="80"/>
              <w:left w:type="dxa" w:w="110"/>
              <w:bottom w:type="dxa" w:w="80"/>
              <w:right w:type="dxa" w:w="110"/>
            </w:tcMar>
          </w:tcPr>
          <w:p>
            <w:pPr>
              <w:spacing w:after="40"/>
            </w:pPr>
            <w:r>
              <w:rPr>
                <w:b/>
                <w:bCs/>
                <w:color w:val="047857"/>
                <w:sz w:val="17"/>
                <w:szCs w:val="17"/>
              </w:rPr>
              <w:t xml:space="preserve">Conforme</w:t>
            </w:r>
          </w:p>
          <w:p>
            <w:pPr>
              <w:spacing w:after="0"/>
            </w:pPr>
            <w:r>
              <w:rPr>
                <w:color w:val="475569"/>
                <w:sz w:val="14"/>
                <w:szCs w:val="14"/>
              </w:rPr>
              <w:t xml:space="preserve">36 ms</w:t>
            </w:r>
          </w:p>
        </w:tc>
      </w:tr>
      <w:tr>
        <w:tc>
          <w:tcPr>
            <w:tcW w:type="pct" w:w="13%"/>
            <w:shd w:fill="F8FAFC"/>
            <w:tcMar>
              <w:top w:type="dxa" w:w="80"/>
              <w:left w:type="dxa" w:w="110"/>
              <w:bottom w:type="dxa" w:w="80"/>
              <w:right w:type="dxa" w:w="110"/>
            </w:tcMar>
          </w:tcPr>
          <w:p>
            <w:pPr>
              <w:spacing w:after="50"/>
            </w:pPr>
            <w:r>
              <w:rPr>
                <w:b/>
                <w:bCs/>
                <w:color w:val="4338CA"/>
                <w:sz w:val="17"/>
                <w:szCs w:val="17"/>
              </w:rPr>
              <w:t xml:space="preserve">OQ-06</w:t>
            </w:r>
          </w:p>
          <w:p>
            <w:pPr>
              <w:spacing w:after="0"/>
            </w:pPr>
            <w:r>
              <w:rPr>
                <w:color w:val="475569"/>
                <w:sz w:val="15"/>
                <w:szCs w:val="15"/>
              </w:rPr>
              <w:t xml:space="preserve">URS-10</w:t>
            </w:r>
          </w:p>
        </w:tc>
        <w:tc>
          <w:tcPr>
            <w:tcW w:type="pct" w:w="30%"/>
            <w:tcMar>
              <w:top w:type="dxa" w:w="80"/>
              <w:left w:type="dxa" w:w="110"/>
              <w:bottom w:type="dxa" w:w="80"/>
              <w:right w:type="dxa" w:w="110"/>
            </w:tcMar>
          </w:tcPr>
          <w:p>
            <w:pPr>
              <w:spacing w:after="50"/>
            </w:pPr>
            <w:r>
              <w:rPr>
                <w:b/>
                <w:bCs/>
                <w:sz w:val="17"/>
                <w:szCs w:val="17"/>
              </w:rPr>
              <w:t xml:space="preserve">Copie exacte servie, et détection d'altération</w:t>
            </w:r>
          </w:p>
          <w:p>
            <w:pPr>
              <w:spacing w:after="0"/>
            </w:pPr>
            <w:r>
              <w:rPr>
                <w:color w:val="475569"/>
                <w:sz w:val="15"/>
                <w:szCs w:val="15"/>
              </w:rPr>
              <w:t xml:space="preserve">Vérifier que les octets relus sont ceux conservés, et qu'une altération sur disque est détectée au lieu d'être servie.</w:t>
            </w:r>
          </w:p>
        </w:tc>
        <w:tc>
          <w:tcPr>
            <w:tcW w:type="pct" w:w="45%"/>
            <w:tcMar>
              <w:top w:type="dxa" w:w="80"/>
              <w:left w:type="dxa" w:w="110"/>
              <w:bottom w:type="dxa" w:w="80"/>
              <w:right w:type="dxa" w:w="110"/>
            </w:tcMar>
          </w:tcPr>
          <w:p>
            <w:pPr>
              <w:spacing w:after="0"/>
            </w:pPr>
            <w:r>
              <w:rPr>
                <w:sz w:val="17"/>
                <w:szCs w:val="17"/>
              </w:rPr>
              <w:t xml:space="preserve">10489 octets relus à l'identique ; inversion d'un octet en position 5244 détectée</w:t>
            </w:r>
          </w:p>
        </w:tc>
        <w:tc>
          <w:tcPr>
            <w:tcW w:type="pct" w:w="12%"/>
            <w:tcMar>
              <w:top w:type="dxa" w:w="80"/>
              <w:left w:type="dxa" w:w="110"/>
              <w:bottom w:type="dxa" w:w="80"/>
              <w:right w:type="dxa" w:w="110"/>
            </w:tcMar>
          </w:tcPr>
          <w:p>
            <w:pPr>
              <w:spacing w:after="40"/>
            </w:pPr>
            <w:r>
              <w:rPr>
                <w:b/>
                <w:bCs/>
                <w:color w:val="047857"/>
                <w:sz w:val="17"/>
                <w:szCs w:val="17"/>
              </w:rPr>
              <w:t xml:space="preserve">Conforme</w:t>
            </w:r>
          </w:p>
          <w:p>
            <w:pPr>
              <w:spacing w:after="0"/>
            </w:pPr>
            <w:r>
              <w:rPr>
                <w:color w:val="475569"/>
                <w:sz w:val="14"/>
                <w:szCs w:val="14"/>
              </w:rPr>
              <w:t xml:space="preserve">36 ms</w:t>
            </w:r>
          </w:p>
        </w:tc>
      </w:tr>
      <w:tr>
        <w:tc>
          <w:tcPr>
            <w:tcW w:type="pct" w:w="13%"/>
            <w:shd w:fill="F8FAFC"/>
            <w:tcMar>
              <w:top w:type="dxa" w:w="80"/>
              <w:left w:type="dxa" w:w="110"/>
              <w:bottom w:type="dxa" w:w="80"/>
              <w:right w:type="dxa" w:w="110"/>
            </w:tcMar>
          </w:tcPr>
          <w:p>
            <w:pPr>
              <w:spacing w:after="50"/>
            </w:pPr>
            <w:r>
              <w:rPr>
                <w:b/>
                <w:bCs/>
                <w:color w:val="4338CA"/>
                <w:sz w:val="17"/>
                <w:szCs w:val="17"/>
              </w:rPr>
              <w:t xml:space="preserve">OQ-07</w:t>
            </w:r>
          </w:p>
          <w:p>
            <w:pPr>
              <w:spacing w:after="0"/>
            </w:pPr>
            <w:r>
              <w:rPr>
                <w:color w:val="475569"/>
                <w:sz w:val="15"/>
                <w:szCs w:val="15"/>
              </w:rPr>
              <w:t xml:space="preserve">URS-11</w:t>
            </w:r>
          </w:p>
        </w:tc>
        <w:tc>
          <w:tcPr>
            <w:tcW w:type="pct" w:w="30%"/>
            <w:tcMar>
              <w:top w:type="dxa" w:w="80"/>
              <w:left w:type="dxa" w:w="110"/>
              <w:bottom w:type="dxa" w:w="80"/>
              <w:right w:type="dxa" w:w="110"/>
            </w:tcMar>
          </w:tcPr>
          <w:p>
            <w:pPr>
              <w:spacing w:after="50"/>
            </w:pPr>
            <w:r>
              <w:rPr>
                <w:b/>
                <w:bCs/>
                <w:sz w:val="17"/>
                <w:szCs w:val="17"/>
              </w:rPr>
              <w:t xml:space="preserve">Refus de publication après dérive du contenu</w:t>
            </w:r>
          </w:p>
          <w:p>
            <w:pPr>
              <w:spacing w:after="0"/>
            </w:pPr>
            <w:r>
              <w:rPr>
                <w:color w:val="475569"/>
                <w:sz w:val="15"/>
                <w:szCs w:val="15"/>
              </w:rPr>
              <w:t xml:space="preserve">Vérifier qu'un contenu modifié après le gel empêche la publication et que l'écart est journalisé.</w:t>
            </w:r>
          </w:p>
        </w:tc>
        <w:tc>
          <w:tcPr>
            <w:tcW w:type="pct" w:w="45%"/>
            <w:tcMar>
              <w:top w:type="dxa" w:w="80"/>
              <w:left w:type="dxa" w:w="110"/>
              <w:bottom w:type="dxa" w:w="80"/>
              <w:right w:type="dxa" w:w="110"/>
            </w:tcMar>
          </w:tcPr>
          <w:p>
            <w:pPr>
              <w:spacing w:after="0"/>
            </w:pPr>
            <w:r>
              <w:rPr>
                <w:sz w:val="17"/>
                <w:szCs w:val="17"/>
              </w:rPr>
              <w:t xml:space="preserve">publication refusée (motif « derive »), document maintenu en revue, refus journalisé avec les deux empreintes</w:t>
            </w:r>
          </w:p>
        </w:tc>
        <w:tc>
          <w:tcPr>
            <w:tcW w:type="pct" w:w="12%"/>
            <w:tcMar>
              <w:top w:type="dxa" w:w="80"/>
              <w:left w:type="dxa" w:w="110"/>
              <w:bottom w:type="dxa" w:w="80"/>
              <w:right w:type="dxa" w:w="110"/>
            </w:tcMar>
          </w:tcPr>
          <w:p>
            <w:pPr>
              <w:spacing w:after="40"/>
            </w:pPr>
            <w:r>
              <w:rPr>
                <w:b/>
                <w:bCs/>
                <w:color w:val="047857"/>
                <w:sz w:val="17"/>
                <w:szCs w:val="17"/>
              </w:rPr>
              <w:t xml:space="preserve">Conforme</w:t>
            </w:r>
          </w:p>
          <w:p>
            <w:pPr>
              <w:spacing w:after="0"/>
            </w:pPr>
            <w:r>
              <w:rPr>
                <w:color w:val="475569"/>
                <w:sz w:val="14"/>
                <w:szCs w:val="14"/>
              </w:rPr>
              <w:t xml:space="preserve">38 ms</w:t>
            </w:r>
          </w:p>
        </w:tc>
      </w:tr>
      <w:tr>
        <w:tc>
          <w:tcPr>
            <w:tcW w:type="pct" w:w="13%"/>
            <w:shd w:fill="F8FAFC"/>
            <w:tcMar>
              <w:top w:type="dxa" w:w="80"/>
              <w:left w:type="dxa" w:w="110"/>
              <w:bottom w:type="dxa" w:w="80"/>
              <w:right w:type="dxa" w:w="110"/>
            </w:tcMar>
          </w:tcPr>
          <w:p>
            <w:pPr>
              <w:spacing w:after="50"/>
            </w:pPr>
            <w:r>
              <w:rPr>
                <w:b/>
                <w:bCs/>
                <w:color w:val="4338CA"/>
                <w:sz w:val="17"/>
                <w:szCs w:val="17"/>
              </w:rPr>
              <w:t xml:space="preserve">OQ-08</w:t>
            </w:r>
          </w:p>
          <w:p>
            <w:pPr>
              <w:spacing w:after="0"/>
            </w:pPr>
            <w:r>
              <w:rPr>
                <w:color w:val="475569"/>
                <w:sz w:val="15"/>
                <w:szCs w:val="15"/>
              </w:rPr>
              <w:t xml:space="preserve">URS-12</w:t>
            </w:r>
          </w:p>
        </w:tc>
        <w:tc>
          <w:tcPr>
            <w:tcW w:type="pct" w:w="30%"/>
            <w:tcMar>
              <w:top w:type="dxa" w:w="80"/>
              <w:left w:type="dxa" w:w="110"/>
              <w:bottom w:type="dxa" w:w="80"/>
              <w:right w:type="dxa" w:w="110"/>
            </w:tcMar>
          </w:tcPr>
          <w:p>
            <w:pPr>
              <w:spacing w:after="50"/>
            </w:pPr>
            <w:r>
              <w:rPr>
                <w:b/>
                <w:bCs/>
                <w:sz w:val="17"/>
                <w:szCs w:val="17"/>
              </w:rPr>
              <w:t xml:space="preserve">Invalidation des signatures à la reprise du contenu</w:t>
            </w:r>
          </w:p>
          <w:p>
            <w:pPr>
              <w:spacing w:after="0"/>
            </w:pPr>
            <w:r>
              <w:rPr>
                <w:color w:val="475569"/>
                <w:sz w:val="15"/>
                <w:szCs w:val="15"/>
              </w:rPr>
              <w:t xml:space="preserve">Vérifier qu'un retour en brouillon efface tout ce qui décrivait un geste de signature.</w:t>
            </w:r>
          </w:p>
        </w:tc>
        <w:tc>
          <w:tcPr>
            <w:tcW w:type="pct" w:w="45%"/>
            <w:tcMar>
              <w:top w:type="dxa" w:w="80"/>
              <w:left w:type="dxa" w:w="110"/>
              <w:bottom w:type="dxa" w:w="80"/>
              <w:right w:type="dxa" w:w="110"/>
            </w:tcMar>
          </w:tcPr>
          <w:p>
            <w:pPr>
              <w:spacing w:after="0"/>
            </w:pPr>
            <w:r>
              <w:rPr>
                <w:sz w:val="17"/>
                <w:szCs w:val="17"/>
              </w:rPr>
              <w:t xml:space="preserve">les six champs décrivant la signature sont effacés, et le gel cesse d'être en vigueur</w:t>
            </w:r>
          </w:p>
        </w:tc>
        <w:tc>
          <w:tcPr>
            <w:tcW w:type="pct" w:w="12%"/>
            <w:tcMar>
              <w:top w:type="dxa" w:w="80"/>
              <w:left w:type="dxa" w:w="110"/>
              <w:bottom w:type="dxa" w:w="80"/>
              <w:right w:type="dxa" w:w="110"/>
            </w:tcMar>
          </w:tcPr>
          <w:p>
            <w:pPr>
              <w:spacing w:after="40"/>
            </w:pPr>
            <w:r>
              <w:rPr>
                <w:b/>
                <w:bCs/>
                <w:color w:val="047857"/>
                <w:sz w:val="17"/>
                <w:szCs w:val="17"/>
              </w:rPr>
              <w:t xml:space="preserve">Conforme</w:t>
            </w:r>
          </w:p>
          <w:p>
            <w:pPr>
              <w:spacing w:after="0"/>
            </w:pPr>
            <w:r>
              <w:rPr>
                <w:color w:val="475569"/>
                <w:sz w:val="14"/>
                <w:szCs w:val="14"/>
              </w:rPr>
              <w:t xml:space="preserve">48 ms</w:t>
            </w:r>
          </w:p>
        </w:tc>
      </w:tr>
      <w:tr>
        <w:tc>
          <w:tcPr>
            <w:tcW w:type="pct" w:w="13%"/>
            <w:shd w:fill="F8FAFC"/>
            <w:tcMar>
              <w:top w:type="dxa" w:w="80"/>
              <w:left w:type="dxa" w:w="110"/>
              <w:bottom w:type="dxa" w:w="80"/>
              <w:right w:type="dxa" w:w="110"/>
            </w:tcMar>
          </w:tcPr>
          <w:p>
            <w:pPr>
              <w:spacing w:after="50"/>
            </w:pPr>
            <w:r>
              <w:rPr>
                <w:b/>
                <w:bCs/>
                <w:color w:val="4338CA"/>
                <w:sz w:val="17"/>
                <w:szCs w:val="17"/>
              </w:rPr>
              <w:t xml:space="preserve">OQ-09</w:t>
            </w:r>
          </w:p>
          <w:p>
            <w:pPr>
              <w:spacing w:after="0"/>
            </w:pPr>
            <w:r>
              <w:rPr>
                <w:color w:val="475569"/>
                <w:sz w:val="15"/>
                <w:szCs w:val="15"/>
              </w:rPr>
              <w:t xml:space="preserve">URS-13</w:t>
            </w:r>
          </w:p>
        </w:tc>
        <w:tc>
          <w:tcPr>
            <w:tcW w:type="pct" w:w="30%"/>
            <w:tcMar>
              <w:top w:type="dxa" w:w="80"/>
              <w:left w:type="dxa" w:w="110"/>
              <w:bottom w:type="dxa" w:w="80"/>
              <w:right w:type="dxa" w:w="110"/>
            </w:tcMar>
          </w:tcPr>
          <w:p>
            <w:pPr>
              <w:spacing w:after="50"/>
            </w:pPr>
            <w:r>
              <w:rPr>
                <w:b/>
                <w:bCs/>
                <w:sz w:val="17"/>
                <w:szCs w:val="17"/>
              </w:rPr>
              <w:t xml:space="preserve">Verrous de publication</w:t>
            </w:r>
          </w:p>
          <w:p>
            <w:pPr>
              <w:spacing w:after="0"/>
            </w:pPr>
            <w:r>
              <w:rPr>
                <w:color w:val="475569"/>
                <w:sz w:val="15"/>
                <w:szCs w:val="15"/>
              </w:rPr>
              <w:t xml:space="preserve">Vérifier qu'un document ne peut être publié ni sans signature apposée, ni avec un fil de revue ouvert.</w:t>
            </w:r>
          </w:p>
        </w:tc>
        <w:tc>
          <w:tcPr>
            <w:tcW w:type="pct" w:w="45%"/>
            <w:tcMar>
              <w:top w:type="dxa" w:w="80"/>
              <w:left w:type="dxa" w:w="110"/>
              <w:bottom w:type="dxa" w:w="80"/>
              <w:right w:type="dxa" w:w="110"/>
            </w:tcMar>
          </w:tcPr>
          <w:p>
            <w:pPr>
              <w:spacing w:after="0"/>
            </w:pPr>
            <w:r>
              <w:rPr>
                <w:sz w:val="17"/>
                <w:szCs w:val="17"/>
              </w:rPr>
              <w:t xml:space="preserve">refus sans signature, refus avec fil ouvert, acceptation une fois les deux verrous levés</w:t>
            </w:r>
          </w:p>
        </w:tc>
        <w:tc>
          <w:tcPr>
            <w:tcW w:type="pct" w:w="12%"/>
            <w:tcMar>
              <w:top w:type="dxa" w:w="80"/>
              <w:left w:type="dxa" w:w="110"/>
              <w:bottom w:type="dxa" w:w="80"/>
              <w:right w:type="dxa" w:w="110"/>
            </w:tcMar>
          </w:tcPr>
          <w:p>
            <w:pPr>
              <w:spacing w:after="40"/>
            </w:pPr>
            <w:r>
              <w:rPr>
                <w:b/>
                <w:bCs/>
                <w:color w:val="047857"/>
                <w:sz w:val="17"/>
                <w:szCs w:val="17"/>
              </w:rPr>
              <w:t xml:space="preserve">Conforme</w:t>
            </w:r>
          </w:p>
          <w:p>
            <w:pPr>
              <w:spacing w:after="0"/>
            </w:pPr>
            <w:r>
              <w:rPr>
                <w:color w:val="475569"/>
                <w:sz w:val="14"/>
                <w:szCs w:val="14"/>
              </w:rPr>
              <w:t xml:space="preserve">74 ms</w:t>
            </w:r>
          </w:p>
        </w:tc>
      </w:tr>
      <w:tr>
        <w:tc>
          <w:tcPr>
            <w:tcW w:type="pct" w:w="13%"/>
            <w:shd w:fill="F8FAFC"/>
            <w:tcMar>
              <w:top w:type="dxa" w:w="80"/>
              <w:left w:type="dxa" w:w="110"/>
              <w:bottom w:type="dxa" w:w="80"/>
              <w:right w:type="dxa" w:w="110"/>
            </w:tcMar>
          </w:tcPr>
          <w:p>
            <w:pPr>
              <w:spacing w:after="50"/>
            </w:pPr>
            <w:r>
              <w:rPr>
                <w:b/>
                <w:bCs/>
                <w:color w:val="4338CA"/>
                <w:sz w:val="17"/>
                <w:szCs w:val="17"/>
              </w:rPr>
              <w:t xml:space="preserve">OQ-10</w:t>
            </w:r>
          </w:p>
          <w:p>
            <w:pPr>
              <w:spacing w:after="0"/>
            </w:pPr>
            <w:r>
              <w:rPr>
                <w:color w:val="475569"/>
                <w:sz w:val="15"/>
                <w:szCs w:val="15"/>
              </w:rPr>
              <w:t xml:space="preserve">URS-14</w:t>
            </w:r>
          </w:p>
        </w:tc>
        <w:tc>
          <w:tcPr>
            <w:tcW w:type="pct" w:w="30%"/>
            <w:tcMar>
              <w:top w:type="dxa" w:w="80"/>
              <w:left w:type="dxa" w:w="110"/>
              <w:bottom w:type="dxa" w:w="80"/>
              <w:right w:type="dxa" w:w="110"/>
            </w:tcMar>
          </w:tcPr>
          <w:p>
            <w:pPr>
              <w:spacing w:after="50"/>
            </w:pPr>
            <w:r>
              <w:rPr>
                <w:b/>
                <w:bCs/>
                <w:sz w:val="17"/>
                <w:szCs w:val="17"/>
              </w:rPr>
              <w:t xml:space="preserve">Conservation des gels dépassés</w:t>
            </w:r>
          </w:p>
          <w:p>
            <w:pPr>
              <w:spacing w:after="0"/>
            </w:pPr>
            <w:r>
              <w:rPr>
                <w:color w:val="475569"/>
                <w:sz w:val="15"/>
                <w:szCs w:val="15"/>
              </w:rPr>
              <w:t xml:space="preserve">Vérifier qu'un gel remplacé reste en base et que son fichier demeure lisible.</w:t>
            </w:r>
          </w:p>
        </w:tc>
        <w:tc>
          <w:tcPr>
            <w:tcW w:type="pct" w:w="45%"/>
            <w:tcMar>
              <w:top w:type="dxa" w:w="80"/>
              <w:left w:type="dxa" w:w="110"/>
              <w:bottom w:type="dxa" w:w="80"/>
              <w:right w:type="dxa" w:w="110"/>
            </w:tcMar>
          </w:tcPr>
          <w:p>
            <w:pPr>
              <w:spacing w:after="0"/>
            </w:pPr>
            <w:r>
              <w:rPr>
                <w:sz w:val="17"/>
                <w:szCs w:val="17"/>
              </w:rPr>
              <w:t xml:space="preserve">2 instantanés conservés : le gel de revue reste lisible (10496 o, dépassé), l'enregistrement approuvé porte la même empreinte de contenu</w:t>
            </w:r>
          </w:p>
        </w:tc>
        <w:tc>
          <w:tcPr>
            <w:tcW w:type="pct" w:w="12%"/>
            <w:tcMar>
              <w:top w:type="dxa" w:w="80"/>
              <w:left w:type="dxa" w:w="110"/>
              <w:bottom w:type="dxa" w:w="80"/>
              <w:right w:type="dxa" w:w="110"/>
            </w:tcMar>
          </w:tcPr>
          <w:p>
            <w:pPr>
              <w:spacing w:after="40"/>
            </w:pPr>
            <w:r>
              <w:rPr>
                <w:b/>
                <w:bCs/>
                <w:color w:val="047857"/>
                <w:sz w:val="17"/>
                <w:szCs w:val="17"/>
              </w:rPr>
              <w:t xml:space="preserve">Conforme</w:t>
            </w:r>
          </w:p>
          <w:p>
            <w:pPr>
              <w:spacing w:after="0"/>
            </w:pPr>
            <w:r>
              <w:rPr>
                <w:color w:val="475569"/>
                <w:sz w:val="14"/>
                <w:szCs w:val="14"/>
              </w:rPr>
              <w:t xml:space="preserve">85 ms</w:t>
            </w:r>
          </w:p>
        </w:tc>
      </w:tr>
      <w:tr>
        <w:tc>
          <w:tcPr>
            <w:tcW w:type="pct" w:w="13%"/>
            <w:shd w:fill="F8FAFC"/>
            <w:tcMar>
              <w:top w:type="dxa" w:w="80"/>
              <w:left w:type="dxa" w:w="110"/>
              <w:bottom w:type="dxa" w:w="80"/>
              <w:right w:type="dxa" w:w="110"/>
            </w:tcMar>
          </w:tcPr>
          <w:p>
            <w:pPr>
              <w:spacing w:after="50"/>
            </w:pPr>
            <w:r>
              <w:rPr>
                <w:b/>
                <w:bCs/>
                <w:color w:val="4338CA"/>
                <w:sz w:val="17"/>
                <w:szCs w:val="17"/>
              </w:rPr>
              <w:t xml:space="preserve">OQ-11</w:t>
            </w:r>
          </w:p>
          <w:p>
            <w:pPr>
              <w:spacing w:after="0"/>
            </w:pPr>
            <w:r>
              <w:rPr>
                <w:color w:val="475569"/>
                <w:sz w:val="15"/>
                <w:szCs w:val="15"/>
              </w:rPr>
              <w:t xml:space="preserve">URS-03</w:t>
            </w:r>
          </w:p>
        </w:tc>
        <w:tc>
          <w:tcPr>
            <w:tcW w:type="pct" w:w="30%"/>
            <w:tcMar>
              <w:top w:type="dxa" w:w="80"/>
              <w:left w:type="dxa" w:w="110"/>
              <w:bottom w:type="dxa" w:w="80"/>
              <w:right w:type="dxa" w:w="110"/>
            </w:tcMar>
          </w:tcPr>
          <w:p>
            <w:pPr>
              <w:spacing w:after="50"/>
            </w:pPr>
            <w:r>
              <w:rPr>
                <w:b/>
                <w:bCs/>
                <w:sz w:val="17"/>
                <w:szCs w:val="17"/>
              </w:rPr>
              <w:t xml:space="preserve">Traçabilité des opérations du cycle de vie</w:t>
            </w:r>
          </w:p>
          <w:p>
            <w:pPr>
              <w:spacing w:after="0"/>
            </w:pPr>
            <w:r>
              <w:rPr>
                <w:color w:val="475569"/>
                <w:sz w:val="15"/>
                <w:szCs w:val="15"/>
              </w:rPr>
              <w:t xml:space="preserve">Vérifier que chaque opération produit une entrée d'audit attribuée et horodatée.</w:t>
            </w:r>
          </w:p>
        </w:tc>
        <w:tc>
          <w:tcPr>
            <w:tcW w:type="pct" w:w="45%"/>
            <w:tcMar>
              <w:top w:type="dxa" w:w="80"/>
              <w:left w:type="dxa" w:w="110"/>
              <w:bottom w:type="dxa" w:w="80"/>
              <w:right w:type="dxa" w:w="110"/>
            </w:tcMar>
          </w:tcPr>
          <w:p>
            <w:pPr>
              <w:spacing w:after="0"/>
            </w:pPr>
            <w:r>
              <w:rPr>
                <w:sz w:val="17"/>
                <w:szCs w:val="17"/>
              </w:rPr>
              <w:t xml:space="preserve">5 entrées produites par le cycle, toutes attribuées et horodatées ; actions couvertes : create, statusChange, sign</w:t>
            </w:r>
          </w:p>
        </w:tc>
        <w:tc>
          <w:tcPr>
            <w:tcW w:type="pct" w:w="12%"/>
            <w:tcMar>
              <w:top w:type="dxa" w:w="80"/>
              <w:left w:type="dxa" w:w="110"/>
              <w:bottom w:type="dxa" w:w="80"/>
              <w:right w:type="dxa" w:w="110"/>
            </w:tcMar>
          </w:tcPr>
          <w:p>
            <w:pPr>
              <w:spacing w:after="40"/>
            </w:pPr>
            <w:r>
              <w:rPr>
                <w:b/>
                <w:bCs/>
                <w:color w:val="047857"/>
                <w:sz w:val="17"/>
                <w:szCs w:val="17"/>
              </w:rPr>
              <w:t xml:space="preserve">Conforme</w:t>
            </w:r>
          </w:p>
          <w:p>
            <w:pPr>
              <w:spacing w:after="0"/>
            </w:pPr>
            <w:r>
              <w:rPr>
                <w:color w:val="475569"/>
                <w:sz w:val="14"/>
                <w:szCs w:val="14"/>
              </w:rPr>
              <w:t xml:space="preserve">73 ms</w:t>
            </w:r>
          </w:p>
        </w:tc>
      </w:tr>
      <w:tr>
        <w:tc>
          <w:tcPr>
            <w:tcW w:type="pct" w:w="13%"/>
            <w:shd w:fill="F8FAFC"/>
            <w:tcMar>
              <w:top w:type="dxa" w:w="80"/>
              <w:left w:type="dxa" w:w="110"/>
              <w:bottom w:type="dxa" w:w="80"/>
              <w:right w:type="dxa" w:w="110"/>
            </w:tcMar>
          </w:tcPr>
          <w:p>
            <w:pPr>
              <w:spacing w:after="50"/>
            </w:pPr>
            <w:r>
              <w:rPr>
                <w:b/>
                <w:bCs/>
                <w:color w:val="4338CA"/>
                <w:sz w:val="17"/>
                <w:szCs w:val="17"/>
              </w:rPr>
              <w:t xml:space="preserve">OQ-12</w:t>
            </w:r>
          </w:p>
          <w:p>
            <w:pPr>
              <w:spacing w:after="0"/>
            </w:pPr>
            <w:r>
              <w:rPr>
                <w:color w:val="475569"/>
                <w:sz w:val="15"/>
                <w:szCs w:val="15"/>
              </w:rPr>
              <w:t xml:space="preserve">URS-04</w:t>
            </w:r>
          </w:p>
        </w:tc>
        <w:tc>
          <w:tcPr>
            <w:tcW w:type="pct" w:w="30%"/>
            <w:tcMar>
              <w:top w:type="dxa" w:w="80"/>
              <w:left w:type="dxa" w:w="110"/>
              <w:bottom w:type="dxa" w:w="80"/>
              <w:right w:type="dxa" w:w="110"/>
            </w:tcMar>
          </w:tcPr>
          <w:p>
            <w:pPr>
              <w:spacing w:after="50"/>
            </w:pPr>
            <w:r>
              <w:rPr>
                <w:b/>
                <w:bCs/>
                <w:sz w:val="17"/>
                <w:szCs w:val="17"/>
              </w:rPr>
              <w:t xml:space="preserve">Piste d'audit en ajout seul</w:t>
            </w:r>
          </w:p>
          <w:p>
            <w:pPr>
              <w:spacing w:after="0"/>
            </w:pPr>
            <w:r>
              <w:rPr>
                <w:color w:val="475569"/>
                <w:sz w:val="15"/>
                <w:szCs w:val="15"/>
              </w:rPr>
              <w:t xml:space="preserve">Vérifier par inspection du code source qu'aucune fonction de l'application ne modifie ni ne supprime une entrée de piste d'audit.</w:t>
            </w:r>
          </w:p>
        </w:tc>
        <w:tc>
          <w:tcPr>
            <w:tcW w:type="pct" w:w="45%"/>
            <w:tcMar>
              <w:top w:type="dxa" w:w="80"/>
              <w:left w:type="dxa" w:w="110"/>
              <w:bottom w:type="dxa" w:w="80"/>
              <w:right w:type="dxa" w:w="110"/>
            </w:tcMar>
          </w:tcPr>
          <w:p>
            <w:pPr>
              <w:spacing w:after="0"/>
            </w:pPr>
            <w:r>
              <w:rPr>
                <w:sz w:val="17"/>
                <w:szCs w:val="17"/>
              </w:rPr>
              <w:t xml:space="preserve">174 fichiers source inspectés : aucune modification ni suppression d'entrée ; 1 fichiers en écriture seule</w:t>
            </w:r>
          </w:p>
        </w:tc>
        <w:tc>
          <w:tcPr>
            <w:tcW w:type="pct" w:w="12%"/>
            <w:tcMar>
              <w:top w:type="dxa" w:w="80"/>
              <w:left w:type="dxa" w:w="110"/>
              <w:bottom w:type="dxa" w:w="80"/>
              <w:right w:type="dxa" w:w="110"/>
            </w:tcMar>
          </w:tcPr>
          <w:p>
            <w:pPr>
              <w:spacing w:after="40"/>
            </w:pPr>
            <w:r>
              <w:rPr>
                <w:b/>
                <w:bCs/>
                <w:color w:val="047857"/>
                <w:sz w:val="17"/>
                <w:szCs w:val="17"/>
              </w:rPr>
              <w:t xml:space="preserve">Conforme</w:t>
            </w:r>
          </w:p>
          <w:p>
            <w:pPr>
              <w:spacing w:after="0"/>
            </w:pPr>
            <w:r>
              <w:rPr>
                <w:color w:val="475569"/>
                <w:sz w:val="14"/>
                <w:szCs w:val="14"/>
              </w:rPr>
              <w:t xml:space="preserve">41 ms</w:t>
            </w:r>
          </w:p>
        </w:tc>
      </w:tr>
      <w:tr>
        <w:tc>
          <w:tcPr>
            <w:tcW w:type="pct" w:w="13%"/>
            <w:shd w:fill="F8FAFC"/>
            <w:tcMar>
              <w:top w:type="dxa" w:w="80"/>
              <w:left w:type="dxa" w:w="110"/>
              <w:bottom w:type="dxa" w:w="80"/>
              <w:right w:type="dxa" w:w="110"/>
            </w:tcMar>
          </w:tcPr>
          <w:p>
            <w:pPr>
              <w:spacing w:after="50"/>
            </w:pPr>
            <w:r>
              <w:rPr>
                <w:b/>
                <w:bCs/>
                <w:color w:val="4338CA"/>
                <w:sz w:val="17"/>
                <w:szCs w:val="17"/>
              </w:rPr>
              <w:t xml:space="preserve">OQ-13</w:t>
            </w:r>
          </w:p>
          <w:p>
            <w:pPr>
              <w:spacing w:after="0"/>
            </w:pPr>
            <w:r>
              <w:rPr>
                <w:color w:val="475569"/>
                <w:sz w:val="15"/>
                <w:szCs w:val="15"/>
              </w:rPr>
              <w:t xml:space="preserve">URS-18</w:t>
            </w:r>
          </w:p>
        </w:tc>
        <w:tc>
          <w:tcPr>
            <w:tcW w:type="pct" w:w="30%"/>
            <w:tcMar>
              <w:top w:type="dxa" w:w="80"/>
              <w:left w:type="dxa" w:w="110"/>
              <w:bottom w:type="dxa" w:w="80"/>
              <w:right w:type="dxa" w:w="110"/>
            </w:tcMar>
          </w:tcPr>
          <w:p>
            <w:pPr>
              <w:spacing w:after="50"/>
            </w:pPr>
            <w:r>
              <w:rPr>
                <w:b/>
                <w:bCs/>
                <w:sz w:val="17"/>
                <w:szCs w:val="17"/>
              </w:rPr>
              <w:t xml:space="preserve">Déterminisme et sensibilité de l'empreinte de contenu</w:t>
            </w:r>
          </w:p>
          <w:p>
            <w:pPr>
              <w:spacing w:after="0"/>
            </w:pPr>
            <w:r>
              <w:rPr>
                <w:color w:val="475569"/>
                <w:sz w:val="15"/>
                <w:szCs w:val="15"/>
              </w:rPr>
              <w:t xml:space="preserve">Vérifier qu'une même projection donne toujours la même empreinte, et que toute modification du contenu la change.</w:t>
            </w:r>
          </w:p>
        </w:tc>
        <w:tc>
          <w:tcPr>
            <w:tcW w:type="pct" w:w="45%"/>
            <w:tcMar>
              <w:top w:type="dxa" w:w="80"/>
              <w:left w:type="dxa" w:w="110"/>
              <w:bottom w:type="dxa" w:w="80"/>
              <w:right w:type="dxa" w:w="110"/>
            </w:tcMar>
          </w:tcPr>
          <w:p>
            <w:pPr>
              <w:spacing w:after="0"/>
            </w:pPr>
            <w:r>
              <w:rPr>
                <w:sz w:val="17"/>
                <w:szCs w:val="17"/>
              </w:rPr>
              <w:t xml:space="preserve">stable sur deux calculs (1a94a44d4ddf08ce…), modifiée par un changement de criticité (a05e9c9317f58803…), revenue à l'identique après annulation</w:t>
            </w:r>
          </w:p>
        </w:tc>
        <w:tc>
          <w:tcPr>
            <w:tcW w:type="pct" w:w="12%"/>
            <w:tcMar>
              <w:top w:type="dxa" w:w="80"/>
              <w:left w:type="dxa" w:w="110"/>
              <w:bottom w:type="dxa" w:w="80"/>
              <w:right w:type="dxa" w:w="110"/>
            </w:tcMar>
          </w:tcPr>
          <w:p>
            <w:pPr>
              <w:spacing w:after="40"/>
            </w:pPr>
            <w:r>
              <w:rPr>
                <w:b/>
                <w:bCs/>
                <w:color w:val="047857"/>
                <w:sz w:val="17"/>
                <w:szCs w:val="17"/>
              </w:rPr>
              <w:t xml:space="preserve">Conforme</w:t>
            </w:r>
          </w:p>
          <w:p>
            <w:pPr>
              <w:spacing w:after="0"/>
            </w:pPr>
            <w:r>
              <w:rPr>
                <w:color w:val="475569"/>
                <w:sz w:val="14"/>
                <w:szCs w:val="14"/>
              </w:rPr>
              <w:t xml:space="preserve">18 ms</w:t>
            </w:r>
          </w:p>
        </w:tc>
      </w:tr>
      <w:tr>
        <w:tc>
          <w:tcPr>
            <w:tcW w:type="pct" w:w="13%"/>
            <w:shd w:fill="F8FAFC"/>
            <w:tcMar>
              <w:top w:type="dxa" w:w="80"/>
              <w:left w:type="dxa" w:w="110"/>
              <w:bottom w:type="dxa" w:w="80"/>
              <w:right w:type="dxa" w:w="110"/>
            </w:tcMar>
          </w:tcPr>
          <w:p>
            <w:pPr>
              <w:spacing w:after="50"/>
            </w:pPr>
            <w:r>
              <w:rPr>
                <w:b/>
                <w:bCs/>
                <w:color w:val="4338CA"/>
                <w:sz w:val="17"/>
                <w:szCs w:val="17"/>
              </w:rPr>
              <w:t xml:space="preserve">OQ-14</w:t>
            </w:r>
          </w:p>
          <w:p>
            <w:pPr>
              <w:spacing w:after="0"/>
            </w:pPr>
            <w:r>
              <w:rPr>
                <w:color w:val="475569"/>
                <w:sz w:val="15"/>
                <w:szCs w:val="15"/>
              </w:rPr>
              <w:t xml:space="preserve">URS-16</w:t>
            </w:r>
          </w:p>
        </w:tc>
        <w:tc>
          <w:tcPr>
            <w:tcW w:type="pct" w:w="30%"/>
            <w:tcMar>
              <w:top w:type="dxa" w:w="80"/>
              <w:left w:type="dxa" w:w="110"/>
              <w:bottom w:type="dxa" w:w="80"/>
              <w:right w:type="dxa" w:w="110"/>
            </w:tcMar>
          </w:tcPr>
          <w:p>
            <w:pPr>
              <w:spacing w:after="50"/>
            </w:pPr>
            <w:r>
              <w:rPr>
                <w:b/>
                <w:bCs/>
                <w:sz w:val="17"/>
                <w:szCs w:val="17"/>
              </w:rPr>
              <w:t xml:space="preserve">Neutralisation des caractères de contrôle</w:t>
            </w:r>
          </w:p>
          <w:p>
            <w:pPr>
              <w:spacing w:after="0"/>
            </w:pPr>
            <w:r>
              <w:rPr>
                <w:color w:val="475569"/>
                <w:sz w:val="15"/>
                <w:szCs w:val="15"/>
              </w:rPr>
              <w:t xml:space="preserve">Vérifier que les caractères interdits par XML 1.0 sont retirés à la saisie, sans altérer le texte utile.</w:t>
            </w:r>
          </w:p>
        </w:tc>
        <w:tc>
          <w:tcPr>
            <w:tcW w:type="pct" w:w="45%"/>
            <w:tcMar>
              <w:top w:type="dxa" w:w="80"/>
              <w:left w:type="dxa" w:w="110"/>
              <w:bottom w:type="dxa" w:w="80"/>
              <w:right w:type="dxa" w:w="110"/>
            </w:tcMar>
          </w:tcPr>
          <w:p>
            <w:pPr>
              <w:spacing w:after="0"/>
            </w:pPr>
            <w:r>
              <w:rPr>
                <w:sz w:val="17"/>
                <w:szCs w:val="17"/>
              </w:rPr>
              <w:t xml:space="preserve">caractères de contrôle retirés, sauts verticaux convertis, texte accentué préservé : « Exigence valide⏎ avec saut et contrôle »</w:t>
            </w:r>
          </w:p>
        </w:tc>
        <w:tc>
          <w:tcPr>
            <w:tcW w:type="pct" w:w="12%"/>
            <w:tcMar>
              <w:top w:type="dxa" w:w="80"/>
              <w:left w:type="dxa" w:w="110"/>
              <w:bottom w:type="dxa" w:w="80"/>
              <w:right w:type="dxa" w:w="110"/>
            </w:tcMar>
          </w:tcPr>
          <w:p>
            <w:pPr>
              <w:spacing w:after="40"/>
            </w:pPr>
            <w:r>
              <w:rPr>
                <w:b/>
                <w:bCs/>
                <w:color w:val="047857"/>
                <w:sz w:val="17"/>
                <w:szCs w:val="17"/>
              </w:rPr>
              <w:t xml:space="preserve">Conforme</w:t>
            </w:r>
          </w:p>
          <w:p>
            <w:pPr>
              <w:spacing w:after="0"/>
            </w:pPr>
            <w:r>
              <w:rPr>
                <w:color w:val="475569"/>
                <w:sz w:val="14"/>
                <w:szCs w:val="14"/>
              </w:rPr>
              <w:t xml:space="preserve">0 ms</w:t>
            </w:r>
          </w:p>
        </w:tc>
      </w:tr>
      <w:tr>
        <w:tc>
          <w:tcPr>
            <w:tcW w:type="pct" w:w="13%"/>
            <w:shd w:fill="F8FAFC"/>
            <w:tcMar>
              <w:top w:type="dxa" w:w="80"/>
              <w:left w:type="dxa" w:w="110"/>
              <w:bottom w:type="dxa" w:w="80"/>
              <w:right w:type="dxa" w:w="110"/>
            </w:tcMar>
          </w:tcPr>
          <w:p>
            <w:pPr>
              <w:spacing w:after="50"/>
            </w:pPr>
            <w:r>
              <w:rPr>
                <w:b/>
                <w:bCs/>
                <w:color w:val="4338CA"/>
                <w:sz w:val="17"/>
                <w:szCs w:val="17"/>
              </w:rPr>
              <w:t xml:space="preserve">OQ-15</w:t>
            </w:r>
          </w:p>
          <w:p>
            <w:pPr>
              <w:spacing w:after="0"/>
            </w:pPr>
            <w:r>
              <w:rPr>
                <w:color w:val="475569"/>
                <w:sz w:val="15"/>
                <w:szCs w:val="15"/>
              </w:rPr>
              <w:t xml:space="preserve">URS-17</w:t>
            </w:r>
          </w:p>
        </w:tc>
        <w:tc>
          <w:tcPr>
            <w:tcW w:type="pct" w:w="30%"/>
            <w:tcMar>
              <w:top w:type="dxa" w:w="80"/>
              <w:left w:type="dxa" w:w="110"/>
              <w:bottom w:type="dxa" w:w="80"/>
              <w:right w:type="dxa" w:w="110"/>
            </w:tcMar>
          </w:tcPr>
          <w:p>
            <w:pPr>
              <w:spacing w:after="50"/>
            </w:pPr>
            <w:r>
              <w:rPr>
                <w:b/>
                <w:bCs/>
                <w:sz w:val="17"/>
                <w:szCs w:val="17"/>
              </w:rPr>
              <w:t xml:space="preserve">Robustesse de la reprise par fichier tabulé</w:t>
            </w:r>
          </w:p>
          <w:p>
            <w:pPr>
              <w:spacing w:after="0"/>
            </w:pPr>
            <w:r>
              <w:rPr>
                <w:color w:val="475569"/>
                <w:sz w:val="15"/>
                <w:szCs w:val="15"/>
              </w:rPr>
              <w:t xml:space="preserve">Vérifier que les cellules multi-lignes entre guillemets sont préservées et que les amorces de formule sont neutralisées.</w:t>
            </w:r>
          </w:p>
        </w:tc>
        <w:tc>
          <w:tcPr>
            <w:tcW w:type="pct" w:w="45%"/>
            <w:tcMar>
              <w:top w:type="dxa" w:w="80"/>
              <w:left w:type="dxa" w:w="110"/>
              <w:bottom w:type="dxa" w:w="80"/>
              <w:right w:type="dxa" w:w="110"/>
            </w:tcMar>
          </w:tcPr>
          <w:p>
            <w:pPr>
              <w:spacing w:after="0"/>
            </w:pPr>
            <w:r>
              <w:rPr>
                <w:sz w:val="17"/>
                <w:szCs w:val="17"/>
              </w:rPr>
              <w:t xml:space="preserve">cellule multi-lignes préservée, numérotation physique correcte (ligne 4), quatre amorces de formule neutralisées</w:t>
            </w:r>
          </w:p>
        </w:tc>
        <w:tc>
          <w:tcPr>
            <w:tcW w:type="pct" w:w="12%"/>
            <w:tcMar>
              <w:top w:type="dxa" w:w="80"/>
              <w:left w:type="dxa" w:w="110"/>
              <w:bottom w:type="dxa" w:w="80"/>
              <w:right w:type="dxa" w:w="110"/>
            </w:tcMar>
          </w:tcPr>
          <w:p>
            <w:pPr>
              <w:spacing w:after="40"/>
            </w:pPr>
            <w:r>
              <w:rPr>
                <w:b/>
                <w:bCs/>
                <w:color w:val="047857"/>
                <w:sz w:val="17"/>
                <w:szCs w:val="17"/>
              </w:rPr>
              <w:t xml:space="preserve">Conforme</w:t>
            </w:r>
          </w:p>
          <w:p>
            <w:pPr>
              <w:spacing w:after="0"/>
            </w:pPr>
            <w:r>
              <w:rPr>
                <w:color w:val="475569"/>
                <w:sz w:val="14"/>
                <w:szCs w:val="14"/>
              </w:rPr>
              <w:t xml:space="preserve">1 ms</w:t>
            </w:r>
          </w:p>
        </w:tc>
      </w:tr>
      <w:tr>
        <w:tc>
          <w:tcPr>
            <w:tcW w:type="pct" w:w="13%"/>
            <w:shd w:fill="F8FAFC"/>
            <w:tcMar>
              <w:top w:type="dxa" w:w="80"/>
              <w:left w:type="dxa" w:w="110"/>
              <w:bottom w:type="dxa" w:w="80"/>
              <w:right w:type="dxa" w:w="110"/>
            </w:tcMar>
          </w:tcPr>
          <w:p>
            <w:pPr>
              <w:spacing w:after="50"/>
            </w:pPr>
            <w:r>
              <w:rPr>
                <w:b/>
                <w:bCs/>
                <w:color w:val="4338CA"/>
                <w:sz w:val="17"/>
                <w:szCs w:val="17"/>
              </w:rPr>
              <w:t xml:space="preserve">OQ-16</w:t>
            </w:r>
          </w:p>
          <w:p>
            <w:pPr>
              <w:spacing w:after="0"/>
            </w:pPr>
            <w:r>
              <w:rPr>
                <w:color w:val="475569"/>
                <w:sz w:val="15"/>
                <w:szCs w:val="15"/>
              </w:rPr>
              <w:t xml:space="preserve">URS-15</w:t>
            </w:r>
          </w:p>
        </w:tc>
        <w:tc>
          <w:tcPr>
            <w:tcW w:type="pct" w:w="30%"/>
            <w:tcMar>
              <w:top w:type="dxa" w:w="80"/>
              <w:left w:type="dxa" w:w="110"/>
              <w:bottom w:type="dxa" w:w="80"/>
              <w:right w:type="dxa" w:w="110"/>
            </w:tcMar>
          </w:tcPr>
          <w:p>
            <w:pPr>
              <w:spacing w:after="50"/>
            </w:pPr>
            <w:r>
              <w:rPr>
                <w:b/>
                <w:bCs/>
                <w:sz w:val="17"/>
                <w:szCs w:val="17"/>
              </w:rPr>
              <w:t xml:space="preserve">Moteur de performance analytique — vecteurs des protocoles CLSI</w:t>
            </w:r>
          </w:p>
          <w:p>
            <w:pPr>
              <w:spacing w:after="0"/>
            </w:pPr>
            <w:r>
              <w:rPr>
                <w:color w:val="475569"/>
                <w:sz w:val="15"/>
                <w:szCs w:val="15"/>
              </w:rPr>
              <w:t xml:space="preserve">Rejouer la suite de vecteurs de test issus des exemples travaillés des protocoles EP05, EP06, EP09, EP17, EP25 et EP26.</w:t>
            </w:r>
          </w:p>
        </w:tc>
        <w:tc>
          <w:tcPr>
            <w:tcW w:type="pct" w:w="45%"/>
            <w:tcMar>
              <w:top w:type="dxa" w:w="80"/>
              <w:left w:type="dxa" w:w="110"/>
              <w:bottom w:type="dxa" w:w="80"/>
              <w:right w:type="dxa" w:w="110"/>
            </w:tcMar>
          </w:tcPr>
          <w:p>
            <w:pPr>
              <w:spacing w:after="0"/>
            </w:pPr>
            <w:r>
              <w:rPr>
                <w:sz w:val="17"/>
                <w:szCs w:val="17"/>
              </w:rPr>
              <w:t xml:space="preserve">66 vecteurs conformes aux exemples travaillés, 0 écart — protocoles EP05, EP06, EP09, EP17, EP25, EP26</w:t>
            </w:r>
          </w:p>
        </w:tc>
        <w:tc>
          <w:tcPr>
            <w:tcW w:type="pct" w:w="12%"/>
            <w:tcMar>
              <w:top w:type="dxa" w:w="80"/>
              <w:left w:type="dxa" w:w="110"/>
              <w:bottom w:type="dxa" w:w="80"/>
              <w:right w:type="dxa" w:w="110"/>
            </w:tcMar>
          </w:tcPr>
          <w:p>
            <w:pPr>
              <w:spacing w:after="40"/>
            </w:pPr>
            <w:r>
              <w:rPr>
                <w:b/>
                <w:bCs/>
                <w:color w:val="047857"/>
                <w:sz w:val="17"/>
                <w:szCs w:val="17"/>
              </w:rPr>
              <w:t xml:space="preserve">Conforme</w:t>
            </w:r>
          </w:p>
          <w:p>
            <w:pPr>
              <w:spacing w:after="0"/>
            </w:pPr>
            <w:r>
              <w:rPr>
                <w:color w:val="475569"/>
                <w:sz w:val="14"/>
                <w:szCs w:val="14"/>
              </w:rPr>
              <w:t xml:space="preserve">350 ms</w:t>
            </w:r>
          </w:p>
        </w:tc>
      </w:tr>
      <w:tr>
        <w:tc>
          <w:tcPr>
            <w:tcW w:type="pct" w:w="13%"/>
            <w:shd w:fill="F8FAFC"/>
            <w:tcMar>
              <w:top w:type="dxa" w:w="80"/>
              <w:left w:type="dxa" w:w="110"/>
              <w:bottom w:type="dxa" w:w="80"/>
              <w:right w:type="dxa" w:w="110"/>
            </w:tcMar>
          </w:tcPr>
          <w:p>
            <w:pPr>
              <w:spacing w:after="50"/>
            </w:pPr>
            <w:r>
              <w:rPr>
                <w:b/>
                <w:bCs/>
                <w:color w:val="4338CA"/>
                <w:sz w:val="17"/>
                <w:szCs w:val="17"/>
              </w:rPr>
              <w:t xml:space="preserve">OQ-17</w:t>
            </w:r>
          </w:p>
          <w:p>
            <w:pPr>
              <w:spacing w:after="0"/>
            </w:pPr>
            <w:r>
              <w:rPr>
                <w:color w:val="475569"/>
                <w:sz w:val="15"/>
                <w:szCs w:val="15"/>
              </w:rPr>
              <w:t xml:space="preserve">URS-21</w:t>
            </w:r>
          </w:p>
        </w:tc>
        <w:tc>
          <w:tcPr>
            <w:tcW w:type="pct" w:w="30%"/>
            <w:tcMar>
              <w:top w:type="dxa" w:w="80"/>
              <w:left w:type="dxa" w:w="110"/>
              <w:bottom w:type="dxa" w:w="80"/>
              <w:right w:type="dxa" w:w="110"/>
            </w:tcMar>
          </w:tcPr>
          <w:p>
            <w:pPr>
              <w:spacing w:after="50"/>
            </w:pPr>
            <w:r>
              <w:rPr>
                <w:b/>
                <w:bCs/>
                <w:sz w:val="17"/>
                <w:szCs w:val="17"/>
              </w:rPr>
              <w:t xml:space="preserve">Archive d'inspection — octets exacts, empreintes vérifiables, altération signalée</w:t>
            </w:r>
          </w:p>
          <w:p>
            <w:pPr>
              <w:spacing w:after="0"/>
            </w:pPr>
            <w:r>
              <w:rPr>
                <w:color w:val="475569"/>
                <w:sz w:val="15"/>
                <w:szCs w:val="15"/>
              </w:rPr>
              <w:t xml:space="preserve">Vérifier que l'archive restitue les octets du gel eux-mêmes, que sa liste d'empreintes décrit exactement son contenu, et qu'un enregistrement altéré sur disque y est signalé au lieu d'être présenté comme intact.</w:t>
            </w:r>
          </w:p>
        </w:tc>
        <w:tc>
          <w:tcPr>
            <w:tcW w:type="pct" w:w="45%"/>
            <w:tcMar>
              <w:top w:type="dxa" w:w="80"/>
              <w:left w:type="dxa" w:w="110"/>
              <w:bottom w:type="dxa" w:w="80"/>
              <w:right w:type="dxa" w:w="110"/>
            </w:tcMar>
          </w:tcPr>
          <w:p>
            <w:pPr>
              <w:spacing w:after="0"/>
            </w:pPr>
            <w:r>
              <w:rPr>
                <w:sz w:val="17"/>
                <w:szCs w:val="17"/>
              </w:rPr>
              <w:t xml:space="preserve">13 enregistrement(s) archivé(s), 43 fichier(s) couverts par empreintes.sha256, 0 écart ; ancre 28a1272f2d5d0253… ; octets du gel restitués à l'identique ; altération d'un octet détectée et signalée ALTÉRÉ, fichier conservé dans l'archive</w:t>
            </w:r>
          </w:p>
        </w:tc>
        <w:tc>
          <w:tcPr>
            <w:tcW w:type="pct" w:w="12%"/>
            <w:tcMar>
              <w:top w:type="dxa" w:w="80"/>
              <w:left w:type="dxa" w:w="110"/>
              <w:bottom w:type="dxa" w:w="80"/>
              <w:right w:type="dxa" w:w="110"/>
            </w:tcMar>
          </w:tcPr>
          <w:p>
            <w:pPr>
              <w:spacing w:after="40"/>
            </w:pPr>
            <w:r>
              <w:rPr>
                <w:b/>
                <w:bCs/>
                <w:color w:val="047857"/>
                <w:sz w:val="17"/>
                <w:szCs w:val="17"/>
              </w:rPr>
              <w:t xml:space="preserve">Conforme</w:t>
            </w:r>
          </w:p>
          <w:p>
            <w:pPr>
              <w:spacing w:after="0"/>
            </w:pPr>
            <w:r>
              <w:rPr>
                <w:color w:val="475569"/>
                <w:sz w:val="14"/>
                <w:szCs w:val="14"/>
              </w:rPr>
              <w:t xml:space="preserve">475 ms</w:t>
            </w:r>
          </w:p>
        </w:tc>
      </w:tr>
      <w:tr>
        <w:tc>
          <w:tcPr>
            <w:tcW w:type="pct" w:w="13%"/>
            <w:shd w:fill="F8FAFC"/>
            <w:tcMar>
              <w:top w:type="dxa" w:w="80"/>
              <w:left w:type="dxa" w:w="110"/>
              <w:bottom w:type="dxa" w:w="80"/>
              <w:right w:type="dxa" w:w="110"/>
            </w:tcMar>
          </w:tcPr>
          <w:p>
            <w:pPr>
              <w:spacing w:after="50"/>
            </w:pPr>
            <w:r>
              <w:rPr>
                <w:b/>
                <w:bCs/>
                <w:color w:val="4338CA"/>
                <w:sz w:val="17"/>
                <w:szCs w:val="17"/>
              </w:rPr>
              <w:t xml:space="preserve">OQ-18</w:t>
            </w:r>
          </w:p>
          <w:p>
            <w:pPr>
              <w:spacing w:after="0"/>
            </w:pPr>
            <w:r>
              <w:rPr>
                <w:color w:val="475569"/>
                <w:sz w:val="15"/>
                <w:szCs w:val="15"/>
              </w:rPr>
              <w:t xml:space="preserve">URS-22</w:t>
            </w:r>
          </w:p>
        </w:tc>
        <w:tc>
          <w:tcPr>
            <w:tcW w:type="pct" w:w="30%"/>
            <w:tcMar>
              <w:top w:type="dxa" w:w="80"/>
              <w:left w:type="dxa" w:w="110"/>
              <w:bottom w:type="dxa" w:w="80"/>
              <w:right w:type="dxa" w:w="110"/>
            </w:tcMar>
          </w:tcPr>
          <w:p>
            <w:pPr>
              <w:spacing w:after="50"/>
            </w:pPr>
            <w:r>
              <w:rPr>
                <w:b/>
                <w:bCs/>
                <w:sz w:val="17"/>
                <w:szCs w:val="17"/>
              </w:rPr>
              <w:t xml:space="preserve">Conservation légale — pose, verrou, levée, motifs obligatoires</w:t>
            </w:r>
          </w:p>
          <w:p>
            <w:pPr>
              <w:spacing w:after="0"/>
            </w:pPr>
            <w:r>
              <w:rPr>
                <w:color w:val="475569"/>
                <w:sz w:val="15"/>
                <w:szCs w:val="15"/>
              </w:rPr>
              <w:t xml:space="preserve">Vérifier qu'une conservation légale bloque effectivement la suppression, qu'elle exige un motif à la pose comme à la levée, et que les deux gestes sont journalisés.</w:t>
            </w:r>
          </w:p>
        </w:tc>
        <w:tc>
          <w:tcPr>
            <w:tcW w:type="pct" w:w="45%"/>
            <w:tcMar>
              <w:top w:type="dxa" w:w="80"/>
              <w:left w:type="dxa" w:w="110"/>
              <w:bottom w:type="dxa" w:w="80"/>
              <w:right w:type="dxa" w:w="110"/>
            </w:tcMar>
          </w:tcPr>
          <w:p>
            <w:pPr>
              <w:spacing w:after="0"/>
            </w:pPr>
            <w:r>
              <w:rPr>
                <w:sz w:val="17"/>
                <w:szCs w:val="17"/>
              </w:rPr>
              <w:t xml:space="preserve">pose sans motif refusée, seconde pose refusée, levée sans motif refusée ; blocage effectif pendant la conservation, levé après ; 2 entrée(s) de piste d'audit distinguant POSÉE et LEVÉE</w:t>
            </w:r>
          </w:p>
        </w:tc>
        <w:tc>
          <w:tcPr>
            <w:tcW w:type="pct" w:w="12%"/>
            <w:tcMar>
              <w:top w:type="dxa" w:w="80"/>
              <w:left w:type="dxa" w:w="110"/>
              <w:bottom w:type="dxa" w:w="80"/>
              <w:right w:type="dxa" w:w="110"/>
            </w:tcMar>
          </w:tcPr>
          <w:p>
            <w:pPr>
              <w:spacing w:after="40"/>
            </w:pPr>
            <w:r>
              <w:rPr>
                <w:b/>
                <w:bCs/>
                <w:color w:val="047857"/>
                <w:sz w:val="17"/>
                <w:szCs w:val="17"/>
              </w:rPr>
              <w:t xml:space="preserve">Conforme</w:t>
            </w:r>
          </w:p>
          <w:p>
            <w:pPr>
              <w:spacing w:after="0"/>
            </w:pPr>
            <w:r>
              <w:rPr>
                <w:color w:val="475569"/>
                <w:sz w:val="14"/>
                <w:szCs w:val="14"/>
              </w:rPr>
              <w:t xml:space="preserve">11 ms</w:t>
            </w:r>
          </w:p>
        </w:tc>
      </w:tr>
      <w:tr>
        <w:tc>
          <w:tcPr>
            <w:tcW w:type="pct" w:w="13%"/>
            <w:shd w:fill="F8FAFC"/>
            <w:tcMar>
              <w:top w:type="dxa" w:w="80"/>
              <w:left w:type="dxa" w:w="110"/>
              <w:bottom w:type="dxa" w:w="80"/>
              <w:right w:type="dxa" w:w="110"/>
            </w:tcMar>
          </w:tcPr>
          <w:p>
            <w:pPr>
              <w:spacing w:after="50"/>
            </w:pPr>
            <w:r>
              <w:rPr>
                <w:b/>
                <w:bCs/>
                <w:color w:val="4338CA"/>
                <w:sz w:val="17"/>
                <w:szCs w:val="17"/>
              </w:rPr>
              <w:t xml:space="preserve">OQ-19</w:t>
            </w:r>
          </w:p>
          <w:p>
            <w:pPr>
              <w:spacing w:after="0"/>
            </w:pPr>
            <w:r>
              <w:rPr>
                <w:color w:val="475569"/>
                <w:sz w:val="15"/>
                <w:szCs w:val="15"/>
              </w:rPr>
              <w:t xml:space="preserve">URS-23</w:t>
            </w:r>
          </w:p>
        </w:tc>
        <w:tc>
          <w:tcPr>
            <w:tcW w:type="pct" w:w="30%"/>
            <w:tcMar>
              <w:top w:type="dxa" w:w="80"/>
              <w:left w:type="dxa" w:w="110"/>
              <w:bottom w:type="dxa" w:w="80"/>
              <w:right w:type="dxa" w:w="110"/>
            </w:tcMar>
          </w:tcPr>
          <w:p>
            <w:pPr>
              <w:spacing w:after="50"/>
            </w:pPr>
            <w:r>
              <w:rPr>
                <w:b/>
                <w:bCs/>
                <w:sz w:val="17"/>
                <w:szCs w:val="17"/>
              </w:rPr>
              <w:t xml:space="preserve">Durée de rétention déclarée et reportée en échéance</w:t>
            </w:r>
          </w:p>
          <w:p>
            <w:pPr>
              <w:spacing w:after="0"/>
            </w:pPr>
            <w:r>
              <w:rPr>
                <w:color w:val="475569"/>
                <w:sz w:val="15"/>
                <w:szCs w:val="15"/>
              </w:rPr>
              <w:t xml:space="preserve">Vérifier que la durée déclarée produit une échéance par enregistrement dans l'archive, et qu'en son absence l'archive le dit au lieu d'inventer une valeur.</w:t>
            </w:r>
          </w:p>
        </w:tc>
        <w:tc>
          <w:tcPr>
            <w:tcW w:type="pct" w:w="45%"/>
            <w:tcMar>
              <w:top w:type="dxa" w:w="80"/>
              <w:left w:type="dxa" w:w="110"/>
              <w:bottom w:type="dxa" w:w="80"/>
              <w:right w:type="dxa" w:w="110"/>
            </w:tcMar>
          </w:tcPr>
          <w:p>
            <w:pPr>
              <w:spacing w:after="0"/>
            </w:pPr>
            <w:r>
              <w:rPr>
                <w:sz w:val="17"/>
                <w:szCs w:val="17"/>
              </w:rPr>
              <w:t xml:space="preserve">durée non déclarée annoncée telle quelle ; quatre valeurs invalides refusées (0, -1, 101, 7.5) ; 10 ans déclarés → échéance 2036-10-01 portée par le manifeste, procédure QP-014 rév. B citée dans la lettre d'accompagnement</w:t>
            </w:r>
          </w:p>
        </w:tc>
        <w:tc>
          <w:tcPr>
            <w:tcW w:type="pct" w:w="12%"/>
            <w:tcMar>
              <w:top w:type="dxa" w:w="80"/>
              <w:left w:type="dxa" w:w="110"/>
              <w:bottom w:type="dxa" w:w="80"/>
              <w:right w:type="dxa" w:w="110"/>
            </w:tcMar>
          </w:tcPr>
          <w:p>
            <w:pPr>
              <w:spacing w:after="40"/>
            </w:pPr>
            <w:r>
              <w:rPr>
                <w:b/>
                <w:bCs/>
                <w:color w:val="047857"/>
                <w:sz w:val="17"/>
                <w:szCs w:val="17"/>
              </w:rPr>
              <w:t xml:space="preserve">Conforme</w:t>
            </w:r>
          </w:p>
          <w:p>
            <w:pPr>
              <w:spacing w:after="0"/>
            </w:pPr>
            <w:r>
              <w:rPr>
                <w:color w:val="475569"/>
                <w:sz w:val="14"/>
                <w:szCs w:val="14"/>
              </w:rPr>
              <w:t xml:space="preserve">428 ms</w:t>
            </w:r>
          </w:p>
        </w:tc>
      </w:tr>
      <w:tr>
        <w:tc>
          <w:tcPr>
            <w:tcW w:type="pct" w:w="13%"/>
            <w:shd w:fill="F8FAFC"/>
            <w:tcMar>
              <w:top w:type="dxa" w:w="80"/>
              <w:left w:type="dxa" w:w="110"/>
              <w:bottom w:type="dxa" w:w="80"/>
              <w:right w:type="dxa" w:w="110"/>
            </w:tcMar>
          </w:tcPr>
          <w:p>
            <w:pPr>
              <w:spacing w:after="50"/>
            </w:pPr>
            <w:r>
              <w:rPr>
                <w:b/>
                <w:bCs/>
                <w:color w:val="4338CA"/>
                <w:sz w:val="17"/>
                <w:szCs w:val="17"/>
              </w:rPr>
              <w:t xml:space="preserve">OQ-20</w:t>
            </w:r>
          </w:p>
          <w:p>
            <w:pPr>
              <w:spacing w:after="0"/>
            </w:pPr>
            <w:r>
              <w:rPr>
                <w:color w:val="475569"/>
                <w:sz w:val="15"/>
                <w:szCs w:val="15"/>
              </w:rPr>
              <w:t xml:space="preserve">URS-24</w:t>
            </w:r>
          </w:p>
        </w:tc>
        <w:tc>
          <w:tcPr>
            <w:tcW w:type="pct" w:w="30%"/>
            <w:tcMar>
              <w:top w:type="dxa" w:w="80"/>
              <w:left w:type="dxa" w:w="110"/>
              <w:bottom w:type="dxa" w:w="80"/>
              <w:right w:type="dxa" w:w="110"/>
            </w:tcMar>
          </w:tcPr>
          <w:p>
            <w:pPr>
              <w:spacing w:after="50"/>
            </w:pPr>
            <w:r>
              <w:rPr>
                <w:b/>
                <w:bCs/>
                <w:sz w:val="17"/>
                <w:szCs w:val="17"/>
              </w:rPr>
              <w:t xml:space="preserve">La liaison signature ↔ enregistrement survit à la révision suivante</w:t>
            </w:r>
          </w:p>
          <w:p>
            <w:pPr>
              <w:spacing w:after="0"/>
            </w:pPr>
            <w:r>
              <w:rPr>
                <w:color w:val="475569"/>
                <w:sz w:val="15"/>
                <w:szCs w:val="15"/>
              </w:rPr>
              <w:t xml:space="preserve">Publier une révision, en ouvrir une nouvelle, et vérifier que l'approbation de la révision publiée conserve son signataire, son horodatage, l'instantané signé et l'empreinte du contenu attesté.</w:t>
            </w:r>
          </w:p>
        </w:tc>
        <w:tc>
          <w:tcPr>
            <w:tcW w:type="pct" w:w="45%"/>
            <w:tcMar>
              <w:top w:type="dxa" w:w="80"/>
              <w:left w:type="dxa" w:w="110"/>
              <w:bottom w:type="dxa" w:w="80"/>
              <w:right w:type="dxa" w:w="110"/>
            </w:tcMar>
          </w:tcPr>
          <w:p>
            <w:pPr>
              <w:spacing w:after="0"/>
            </w:pPr>
            <w:r>
              <w:rPr>
                <w:sz w:val="17"/>
                <w:szCs w:val="17"/>
              </w:rPr>
              <w:t xml:space="preserve">signature de la rév. 001 intacte après ouverture de la rév. 002 (horodatage, nom imprimé, manifestation, méthode, empreinte 616af660a3d9a89d…, instantané désigné) ; ronde 001 marquée dépassée ; nouvelle ronde 002 créée pour le même signataire, non signée ; signature d'une ligne dépassée refusée ; 2 enregistrement(s) de la rév. 001 au manifeste, rattachés par lien direct en base ; 12 document(s) contrôlé(s) : aucune approbation en vigueur sur une autre révision</w:t>
            </w:r>
          </w:p>
        </w:tc>
        <w:tc>
          <w:tcPr>
            <w:tcW w:type="pct" w:w="12%"/>
            <w:tcMar>
              <w:top w:type="dxa" w:w="80"/>
              <w:left w:type="dxa" w:w="110"/>
              <w:bottom w:type="dxa" w:w="80"/>
              <w:right w:type="dxa" w:w="110"/>
            </w:tcMar>
          </w:tcPr>
          <w:p>
            <w:pPr>
              <w:spacing w:after="40"/>
            </w:pPr>
            <w:r>
              <w:rPr>
                <w:b/>
                <w:bCs/>
                <w:color w:val="047857"/>
                <w:sz w:val="17"/>
                <w:szCs w:val="17"/>
              </w:rPr>
              <w:t xml:space="preserve">Conforme</w:t>
            </w:r>
          </w:p>
          <w:p>
            <w:pPr>
              <w:spacing w:after="0"/>
            </w:pPr>
            <w:r>
              <w:rPr>
                <w:color w:val="475569"/>
                <w:sz w:val="14"/>
                <w:szCs w:val="14"/>
              </w:rPr>
              <w:t xml:space="preserve">330 ms</w:t>
            </w:r>
          </w:p>
        </w:tc>
      </w:tr>
      <w:tr>
        <w:tc>
          <w:tcPr>
            <w:tcW w:type="pct" w:w="13%"/>
            <w:shd w:fill="F8FAFC"/>
            <w:tcMar>
              <w:top w:type="dxa" w:w="80"/>
              <w:left w:type="dxa" w:w="110"/>
              <w:bottom w:type="dxa" w:w="80"/>
              <w:right w:type="dxa" w:w="110"/>
            </w:tcMar>
          </w:tcPr>
          <w:p>
            <w:pPr>
              <w:spacing w:after="50"/>
            </w:pPr>
            <w:r>
              <w:rPr>
                <w:b/>
                <w:bCs/>
                <w:color w:val="4338CA"/>
                <w:sz w:val="17"/>
                <w:szCs w:val="17"/>
              </w:rPr>
              <w:t xml:space="preserve">OQ-21</w:t>
            </w:r>
          </w:p>
          <w:p>
            <w:pPr>
              <w:spacing w:after="0"/>
            </w:pPr>
            <w:r>
              <w:rPr>
                <w:color w:val="475569"/>
                <w:sz w:val="15"/>
                <w:szCs w:val="15"/>
              </w:rPr>
              <w:t xml:space="preserve">URS-25</w:t>
            </w:r>
          </w:p>
        </w:tc>
        <w:tc>
          <w:tcPr>
            <w:tcW w:type="pct" w:w="30%"/>
            <w:tcMar>
              <w:top w:type="dxa" w:w="80"/>
              <w:left w:type="dxa" w:w="110"/>
              <w:bottom w:type="dxa" w:w="80"/>
              <w:right w:type="dxa" w:w="110"/>
            </w:tcMar>
          </w:tcPr>
          <w:p>
            <w:pPr>
              <w:spacing w:after="50"/>
            </w:pPr>
            <w:r>
              <w:rPr>
                <w:b/>
                <w:bCs/>
                <w:sz w:val="17"/>
                <w:szCs w:val="17"/>
              </w:rPr>
              <w:t xml:space="preserve">Horodatage RFC 3161 — encodage, décodage, et refus de ce qui ne concerne pas l'ancre</w:t>
            </w:r>
          </w:p>
          <w:p>
            <w:pPr>
              <w:spacing w:after="0"/>
            </w:pPr>
            <w:r>
              <w:rPr>
                <w:color w:val="475569"/>
                <w:sz w:val="15"/>
                <w:szCs w:val="15"/>
              </w:rPr>
              <w:t xml:space="preserve">Vérifier sur des vecteurs figés que la requête est conforme, que le jeton est lu exactement, et qu'un jeton attestant une autre empreinte, un autre nonce ou portant un refus est rejeté.</w:t>
            </w:r>
          </w:p>
        </w:tc>
        <w:tc>
          <w:tcPr>
            <w:tcW w:type="pct" w:w="45%"/>
            <w:tcMar>
              <w:top w:type="dxa" w:w="80"/>
              <w:left w:type="dxa" w:w="110"/>
              <w:bottom w:type="dxa" w:w="80"/>
              <w:right w:type="dxa" w:w="110"/>
            </w:tcMar>
          </w:tcPr>
          <w:p>
            <w:pPr>
              <w:spacing w:after="0"/>
            </w:pPr>
            <w:r>
              <w:rPr>
                <w:sz w:val="17"/>
                <w:szCs w:val="17"/>
              </w:rPr>
              <w:t xml:space="preserve">requête DER de 90 octets portant l'empreinte demandée ; jeton de 2418 octets lu exactement (date 2026-08-03T08:55:03.000Z, série 02, politique 1.3.6.1.4.1.99999.1.1) ; quatre refus obtenus : autre empreinte, autre nonce, réponse de rejet de l'autorité, jeton tronqué</w:t>
            </w:r>
          </w:p>
        </w:tc>
        <w:tc>
          <w:tcPr>
            <w:tcW w:type="pct" w:w="12%"/>
            <w:tcMar>
              <w:top w:type="dxa" w:w="80"/>
              <w:left w:type="dxa" w:w="110"/>
              <w:bottom w:type="dxa" w:w="80"/>
              <w:right w:type="dxa" w:w="110"/>
            </w:tcMar>
          </w:tcPr>
          <w:p>
            <w:pPr>
              <w:spacing w:after="40"/>
            </w:pPr>
            <w:r>
              <w:rPr>
                <w:b/>
                <w:bCs/>
                <w:color w:val="047857"/>
                <w:sz w:val="17"/>
                <w:szCs w:val="17"/>
              </w:rPr>
              <w:t xml:space="preserve">Conforme</w:t>
            </w:r>
          </w:p>
          <w:p>
            <w:pPr>
              <w:spacing w:after="0"/>
            </w:pPr>
            <w:r>
              <w:rPr>
                <w:color w:val="475569"/>
                <w:sz w:val="14"/>
                <w:szCs w:val="14"/>
              </w:rPr>
              <w:t xml:space="preserve">2 ms</w:t>
            </w:r>
          </w:p>
        </w:tc>
      </w:tr>
      <w:tr>
        <w:tc>
          <w:tcPr>
            <w:tcW w:type="pct" w:w="13%"/>
            <w:shd w:fill="F8FAFC"/>
            <w:tcMar>
              <w:top w:type="dxa" w:w="80"/>
              <w:left w:type="dxa" w:w="110"/>
              <w:bottom w:type="dxa" w:w="80"/>
              <w:right w:type="dxa" w:w="110"/>
            </w:tcMar>
          </w:tcPr>
          <w:p>
            <w:pPr>
              <w:spacing w:after="50"/>
            </w:pPr>
            <w:r>
              <w:rPr>
                <w:b/>
                <w:bCs/>
                <w:color w:val="4338CA"/>
                <w:sz w:val="17"/>
                <w:szCs w:val="17"/>
              </w:rPr>
              <w:t xml:space="preserve">OQ-22</w:t>
            </w:r>
          </w:p>
          <w:p>
            <w:pPr>
              <w:spacing w:after="0"/>
            </w:pPr>
            <w:r>
              <w:rPr>
                <w:color w:val="475569"/>
                <w:sz w:val="15"/>
                <w:szCs w:val="15"/>
              </w:rPr>
              <w:t xml:space="preserve">URS-26</w:t>
            </w:r>
          </w:p>
        </w:tc>
        <w:tc>
          <w:tcPr>
            <w:tcW w:type="pct" w:w="30%"/>
            <w:tcMar>
              <w:top w:type="dxa" w:w="80"/>
              <w:left w:type="dxa" w:w="110"/>
              <w:bottom w:type="dxa" w:w="80"/>
              <w:right w:type="dxa" w:w="110"/>
            </w:tcMar>
          </w:tcPr>
          <w:p>
            <w:pPr>
              <w:spacing w:after="50"/>
            </w:pPr>
            <w:r>
              <w:rPr>
                <w:b/>
                <w:bCs/>
                <w:sz w:val="17"/>
                <w:szCs w:val="17"/>
              </w:rPr>
              <w:t xml:space="preserve">La remise à zéro de la base couvre chaque modèle du schéma</w:t>
            </w:r>
          </w:p>
          <w:p>
            <w:pPr>
              <w:spacing w:after="0"/>
            </w:pPr>
            <w:r>
              <w:rPr>
                <w:color w:val="475569"/>
                <w:sz w:val="15"/>
                <w:szCs w:val="15"/>
              </w:rPr>
              <w:t xml:space="preserve">Vérifier que le script d'amorçage purge tous les modèles déclarés, de sorte qu'un modèle ajouté sans être purgé soit signalé ici plutôt que découvert par une erreur de clé étrangère.</w:t>
            </w:r>
          </w:p>
        </w:tc>
        <w:tc>
          <w:tcPr>
            <w:tcW w:type="pct" w:w="45%"/>
            <w:tcMar>
              <w:top w:type="dxa" w:w="80"/>
              <w:left w:type="dxa" w:w="110"/>
              <w:bottom w:type="dxa" w:w="80"/>
              <w:right w:type="dxa" w:w="110"/>
            </w:tcMar>
          </w:tcPr>
          <w:p>
            <w:pPr>
              <w:spacing w:after="0"/>
            </w:pPr>
            <w:r>
              <w:rPr>
                <w:sz w:val="17"/>
                <w:szCs w:val="17"/>
              </w:rPr>
              <w:t xml:space="preserve">36 modèles déclarés, tous purgés ou détachés par prisma/seed.ts</w:t>
            </w:r>
          </w:p>
        </w:tc>
        <w:tc>
          <w:tcPr>
            <w:tcW w:type="pct" w:w="12%"/>
            <w:tcMar>
              <w:top w:type="dxa" w:w="80"/>
              <w:left w:type="dxa" w:w="110"/>
              <w:bottom w:type="dxa" w:w="80"/>
              <w:right w:type="dxa" w:w="110"/>
            </w:tcMar>
          </w:tcPr>
          <w:p>
            <w:pPr>
              <w:spacing w:after="40"/>
            </w:pPr>
            <w:r>
              <w:rPr>
                <w:b/>
                <w:bCs/>
                <w:color w:val="047857"/>
                <w:sz w:val="17"/>
                <w:szCs w:val="17"/>
              </w:rPr>
              <w:t xml:space="preserve">Conforme</w:t>
            </w:r>
          </w:p>
          <w:p>
            <w:pPr>
              <w:spacing w:after="0"/>
            </w:pPr>
            <w:r>
              <w:rPr>
                <w:color w:val="475569"/>
                <w:sz w:val="14"/>
                <w:szCs w:val="14"/>
              </w:rPr>
              <w:t xml:space="preserve">1 ms</w:t>
            </w:r>
          </w:p>
        </w:tc>
      </w:tr>
      <w:tr>
        <w:tc>
          <w:tcPr>
            <w:tcW w:type="pct" w:w="13%"/>
            <w:shd w:fill="F8FAFC"/>
            <w:tcMar>
              <w:top w:type="dxa" w:w="80"/>
              <w:left w:type="dxa" w:w="110"/>
              <w:bottom w:type="dxa" w:w="80"/>
              <w:right w:type="dxa" w:w="110"/>
            </w:tcMar>
          </w:tcPr>
          <w:p>
            <w:pPr>
              <w:spacing w:after="50"/>
            </w:pPr>
            <w:r>
              <w:rPr>
                <w:b/>
                <w:bCs/>
                <w:color w:val="4338CA"/>
                <w:sz w:val="17"/>
                <w:szCs w:val="17"/>
              </w:rPr>
              <w:t xml:space="preserve">OQ-23</w:t>
            </w:r>
          </w:p>
          <w:p>
            <w:pPr>
              <w:spacing w:after="0"/>
            </w:pPr>
            <w:r>
              <w:rPr>
                <w:color w:val="475569"/>
                <w:sz w:val="15"/>
                <w:szCs w:val="15"/>
              </w:rPr>
              <w:t xml:space="preserve">URS-27</w:t>
            </w:r>
          </w:p>
        </w:tc>
        <w:tc>
          <w:tcPr>
            <w:tcW w:type="pct" w:w="30%"/>
            <w:tcMar>
              <w:top w:type="dxa" w:w="80"/>
              <w:left w:type="dxa" w:w="110"/>
              <w:bottom w:type="dxa" w:w="80"/>
              <w:right w:type="dxa" w:w="110"/>
            </w:tcMar>
          </w:tcPr>
          <w:p>
            <w:pPr>
              <w:spacing w:after="50"/>
            </w:pPr>
            <w:r>
              <w:rPr>
                <w:b/>
                <w:bCs/>
                <w:sz w:val="17"/>
                <w:szCs w:val="17"/>
              </w:rPr>
              <w:t xml:space="preserve">Chaînage de la piste d'audit — continuité, modification, suppression</w:t>
            </w:r>
          </w:p>
          <w:p>
            <w:pPr>
              <w:spacing w:after="0"/>
            </w:pPr>
            <w:r>
              <w:rPr>
                <w:color w:val="475569"/>
                <w:sz w:val="15"/>
                <w:szCs w:val="15"/>
              </w:rPr>
              <w:t xml:space="preserve">Vérifier que la chaîne se construit sans rupture, qu'une entrée modifiée directement en base est détectée au rang exact, qu'une entrée supprimée l'est aussi, et que la remise en état rend la chaîne de nouveau intacte.</w:t>
            </w:r>
          </w:p>
        </w:tc>
        <w:tc>
          <w:tcPr>
            <w:tcW w:type="pct" w:w="45%"/>
            <w:tcMar>
              <w:top w:type="dxa" w:w="80"/>
              <w:left w:type="dxa" w:w="110"/>
              <w:bottom w:type="dxa" w:w="80"/>
              <w:right w:type="dxa" w:w="110"/>
            </w:tcMar>
          </w:tcPr>
          <w:p>
            <w:pPr>
              <w:spacing w:after="0"/>
            </w:pPr>
            <w:r>
              <w:rPr>
                <w:sz w:val="17"/>
                <w:szCs w:val="17"/>
              </w:rPr>
              <w:t xml:space="preserve">5 entrées chaînées à rangs contigus (53–57) ; modification détectée au rang 55 (nature « contenu »), chaîne de nouveau intacte après remise en état ; suppression détectée au rang 56 (nature « séquence ») ; l'empreinte dépend des 8 champs et du maillon précédent ; sérialisation non ambiguë</w:t>
            </w:r>
          </w:p>
        </w:tc>
        <w:tc>
          <w:tcPr>
            <w:tcW w:type="pct" w:w="12%"/>
            <w:tcMar>
              <w:top w:type="dxa" w:w="80"/>
              <w:left w:type="dxa" w:w="110"/>
              <w:bottom w:type="dxa" w:w="80"/>
              <w:right w:type="dxa" w:w="110"/>
            </w:tcMar>
          </w:tcPr>
          <w:p>
            <w:pPr>
              <w:spacing w:after="40"/>
            </w:pPr>
            <w:r>
              <w:rPr>
                <w:b/>
                <w:bCs/>
                <w:color w:val="047857"/>
                <w:sz w:val="17"/>
                <w:szCs w:val="17"/>
              </w:rPr>
              <w:t xml:space="preserve">Conforme</w:t>
            </w:r>
          </w:p>
          <w:p>
            <w:pPr>
              <w:spacing w:after="0"/>
            </w:pPr>
            <w:r>
              <w:rPr>
                <w:color w:val="475569"/>
                <w:sz w:val="14"/>
                <w:szCs w:val="14"/>
              </w:rPr>
              <w:t xml:space="preserve">17 ms</w:t>
            </w:r>
          </w:p>
        </w:tc>
      </w:tr>
      <w:tr>
        <w:tc>
          <w:tcPr>
            <w:tcW w:type="pct" w:w="13%"/>
            <w:shd w:fill="F8FAFC"/>
            <w:tcMar>
              <w:top w:type="dxa" w:w="80"/>
              <w:left w:type="dxa" w:w="110"/>
              <w:bottom w:type="dxa" w:w="80"/>
              <w:right w:type="dxa" w:w="110"/>
            </w:tcMar>
          </w:tcPr>
          <w:p>
            <w:pPr>
              <w:spacing w:after="50"/>
            </w:pPr>
            <w:r>
              <w:rPr>
                <w:b/>
                <w:bCs/>
                <w:color w:val="4338CA"/>
                <w:sz w:val="17"/>
                <w:szCs w:val="17"/>
              </w:rPr>
              <w:t xml:space="preserve">OQ-24</w:t>
            </w:r>
          </w:p>
          <w:p>
            <w:pPr>
              <w:spacing w:after="0"/>
            </w:pPr>
            <w:r>
              <w:rPr>
                <w:color w:val="475569"/>
                <w:sz w:val="15"/>
                <w:szCs w:val="15"/>
              </w:rPr>
              <w:t xml:space="preserve">URS-28</w:t>
            </w:r>
          </w:p>
        </w:tc>
        <w:tc>
          <w:tcPr>
            <w:tcW w:type="pct" w:w="30%"/>
            <w:tcMar>
              <w:top w:type="dxa" w:w="80"/>
              <w:left w:type="dxa" w:w="110"/>
              <w:bottom w:type="dxa" w:w="80"/>
              <w:right w:type="dxa" w:w="110"/>
            </w:tcMar>
          </w:tcPr>
          <w:p>
            <w:pPr>
              <w:spacing w:after="50"/>
            </w:pPr>
            <w:r>
              <w:rPr>
                <w:b/>
                <w:bCs/>
                <w:sz w:val="17"/>
                <w:szCs w:val="17"/>
              </w:rPr>
              <w:t xml:space="preserve">Point de passage unique, et équivalence du miroir de la console serveur</w:t>
            </w:r>
          </w:p>
          <w:p>
            <w:pPr>
              <w:spacing w:after="0"/>
            </w:pPr>
            <w:r>
              <w:rPr>
                <w:color w:val="475569"/>
                <w:sz w:val="15"/>
                <w:szCs w:val="15"/>
              </w:rPr>
              <w:t xml:space="preserve">Vérifier qu'aucune écriture dans la piste ne contourne le module de chaînage, et que l'implémentation miroir des scripts de console produit exactement les mêmes empreintes.</w:t>
            </w:r>
          </w:p>
        </w:tc>
        <w:tc>
          <w:tcPr>
            <w:tcW w:type="pct" w:w="45%"/>
            <w:tcMar>
              <w:top w:type="dxa" w:w="80"/>
              <w:left w:type="dxa" w:w="110"/>
              <w:bottom w:type="dxa" w:w="80"/>
              <w:right w:type="dxa" w:w="110"/>
            </w:tcMar>
          </w:tcPr>
          <w:p>
            <w:pPr>
              <w:spacing w:after="0"/>
            </w:pPr>
            <w:r>
              <w:rPr>
                <w:sz w:val="17"/>
                <w:szCs w:val="17"/>
              </w:rPr>
              <w:t xml:space="preserve">242 fichier(s) source relus, aucune écriture dans la piste hors du module ; 9 empreintes comparées entre l'implémentation TypeScript et le miroir de la console serveur, toutes identiques</w:t>
            </w:r>
          </w:p>
        </w:tc>
        <w:tc>
          <w:tcPr>
            <w:tcW w:type="pct" w:w="12%"/>
            <w:tcMar>
              <w:top w:type="dxa" w:w="80"/>
              <w:left w:type="dxa" w:w="110"/>
              <w:bottom w:type="dxa" w:w="80"/>
              <w:right w:type="dxa" w:w="110"/>
            </w:tcMar>
          </w:tcPr>
          <w:p>
            <w:pPr>
              <w:spacing w:after="40"/>
            </w:pPr>
            <w:r>
              <w:rPr>
                <w:b/>
                <w:bCs/>
                <w:color w:val="047857"/>
                <w:sz w:val="17"/>
                <w:szCs w:val="17"/>
              </w:rPr>
              <w:t xml:space="preserve">Conforme</w:t>
            </w:r>
          </w:p>
          <w:p>
            <w:pPr>
              <w:spacing w:after="0"/>
            </w:pPr>
            <w:r>
              <w:rPr>
                <w:color w:val="475569"/>
                <w:sz w:val="14"/>
                <w:szCs w:val="14"/>
              </w:rPr>
              <w:t xml:space="preserve">40 ms</w:t>
            </w:r>
          </w:p>
        </w:tc>
      </w:tr>
      <w:tr>
        <w:tc>
          <w:tcPr>
            <w:tcW w:type="pct" w:w="13%"/>
            <w:shd w:fill="F8FAFC"/>
            <w:tcMar>
              <w:top w:type="dxa" w:w="80"/>
              <w:left w:type="dxa" w:w="110"/>
              <w:bottom w:type="dxa" w:w="80"/>
              <w:right w:type="dxa" w:w="110"/>
            </w:tcMar>
          </w:tcPr>
          <w:p>
            <w:pPr>
              <w:spacing w:after="50"/>
            </w:pPr>
            <w:r>
              <w:rPr>
                <w:b/>
                <w:bCs/>
                <w:color w:val="4338CA"/>
                <w:sz w:val="17"/>
                <w:szCs w:val="17"/>
              </w:rPr>
              <w:t xml:space="preserve">OQ-25</w:t>
            </w:r>
          </w:p>
          <w:p>
            <w:pPr>
              <w:spacing w:after="0"/>
            </w:pPr>
            <w:r>
              <w:rPr>
                <w:color w:val="475569"/>
                <w:sz w:val="15"/>
                <w:szCs w:val="15"/>
              </w:rPr>
              <w:t xml:space="preserve">URS-29</w:t>
            </w:r>
          </w:p>
        </w:tc>
        <w:tc>
          <w:tcPr>
            <w:tcW w:type="pct" w:w="30%"/>
            <w:tcMar>
              <w:top w:type="dxa" w:w="80"/>
              <w:left w:type="dxa" w:w="110"/>
              <w:bottom w:type="dxa" w:w="80"/>
              <w:right w:type="dxa" w:w="110"/>
            </w:tcMar>
          </w:tcPr>
          <w:p>
            <w:pPr>
              <w:spacing w:after="50"/>
            </w:pPr>
            <w:r>
              <w:rPr>
                <w:b/>
                <w:bCs/>
                <w:sz w:val="17"/>
                <w:szCs w:val="17"/>
              </w:rPr>
              <w:t xml:space="preserve">Âge des mots de passe — calcul, et distinction des trois états</w:t>
            </w:r>
          </w:p>
          <w:p>
            <w:pPr>
              <w:spacing w:after="0"/>
            </w:pPr>
            <w:r>
              <w:rPr>
                <w:color w:val="475569"/>
                <w:sz w:val="15"/>
                <w:szCs w:val="15"/>
              </w:rPr>
              <w:t xml:space="preserve">Vérifier que l'âge se calcule depuis la date de changement, qu'un compte sans mot de passe n'est jamais concerné, et que les trois motifs de renouvellement se distinguent.</w:t>
            </w:r>
          </w:p>
        </w:tc>
        <w:tc>
          <w:tcPr>
            <w:tcW w:type="pct" w:w="45%"/>
            <w:tcMar>
              <w:top w:type="dxa" w:w="80"/>
              <w:left w:type="dxa" w:w="110"/>
              <w:bottom w:type="dxa" w:w="80"/>
              <w:right w:type="dxa" w:w="110"/>
            </w:tcMar>
          </w:tcPr>
          <w:p>
            <w:pPr>
              <w:spacing w:after="0"/>
            </w:pPr>
            <w:r>
              <w:rPr>
                <w:sz w:val="17"/>
                <w:szCs w:val="17"/>
              </w:rPr>
              <w:t xml:space="preserve">âge calculé en jours entiers (31, 0, null) ; compte référencé hors politique ; sésame administrateur exigé avec ET sans politique ; expiration à 90 j atteinte à 90, pas à 89 ; mot de passe jamais changé signalé toujours, exigé seulement sous politique déclarée</w:t>
            </w:r>
          </w:p>
        </w:tc>
        <w:tc>
          <w:tcPr>
            <w:tcW w:type="pct" w:w="12%"/>
            <w:tcMar>
              <w:top w:type="dxa" w:w="80"/>
              <w:left w:type="dxa" w:w="110"/>
              <w:bottom w:type="dxa" w:w="80"/>
              <w:right w:type="dxa" w:w="110"/>
            </w:tcMar>
          </w:tcPr>
          <w:p>
            <w:pPr>
              <w:spacing w:after="40"/>
            </w:pPr>
            <w:r>
              <w:rPr>
                <w:b/>
                <w:bCs/>
                <w:color w:val="047857"/>
                <w:sz w:val="17"/>
                <w:szCs w:val="17"/>
              </w:rPr>
              <w:t xml:space="preserve">Conforme</w:t>
            </w:r>
          </w:p>
          <w:p>
            <w:pPr>
              <w:spacing w:after="0"/>
            </w:pPr>
            <w:r>
              <w:rPr>
                <w:color w:val="475569"/>
                <w:sz w:val="14"/>
                <w:szCs w:val="14"/>
              </w:rPr>
              <w:t xml:space="preserve">0 ms</w:t>
            </w:r>
          </w:p>
        </w:tc>
      </w:tr>
      <w:tr>
        <w:tc>
          <w:tcPr>
            <w:tcW w:type="pct" w:w="13%"/>
            <w:shd w:fill="F8FAFC"/>
            <w:tcMar>
              <w:top w:type="dxa" w:w="80"/>
              <w:left w:type="dxa" w:w="110"/>
              <w:bottom w:type="dxa" w:w="80"/>
              <w:right w:type="dxa" w:w="110"/>
            </w:tcMar>
          </w:tcPr>
          <w:p>
            <w:pPr>
              <w:spacing w:after="50"/>
            </w:pPr>
            <w:r>
              <w:rPr>
                <w:b/>
                <w:bCs/>
                <w:color w:val="4338CA"/>
                <w:sz w:val="17"/>
                <w:szCs w:val="17"/>
              </w:rPr>
              <w:t xml:space="preserve">OQ-26</w:t>
            </w:r>
          </w:p>
          <w:p>
            <w:pPr>
              <w:spacing w:after="0"/>
            </w:pPr>
            <w:r>
              <w:rPr>
                <w:color w:val="475569"/>
                <w:sz w:val="15"/>
                <w:szCs w:val="15"/>
              </w:rPr>
              <w:t xml:space="preserve">URS-30</w:t>
            </w:r>
          </w:p>
        </w:tc>
        <w:tc>
          <w:tcPr>
            <w:tcW w:type="pct" w:w="30%"/>
            <w:tcMar>
              <w:top w:type="dxa" w:w="80"/>
              <w:left w:type="dxa" w:w="110"/>
              <w:bottom w:type="dxa" w:w="80"/>
              <w:right w:type="dxa" w:w="110"/>
            </w:tcMar>
          </w:tcPr>
          <w:p>
            <w:pPr>
              <w:spacing w:after="50"/>
            </w:pPr>
            <w:r>
              <w:rPr>
                <w:b/>
                <w:bCs/>
                <w:sz w:val="17"/>
                <w:szCs w:val="17"/>
              </w:rPr>
              <w:t xml:space="preserve">Renouvellement imposé : la date est posée, et aucun point d'entrée ne contourne la garde</w:t>
            </w:r>
          </w:p>
          <w:p>
            <w:pPr>
              <w:spacing w:after="0"/>
            </w:pPr>
            <w:r>
              <w:rPr>
                <w:color w:val="475569"/>
                <w:sz w:val="15"/>
                <w:szCs w:val="15"/>
              </w:rPr>
              <w:t xml:space="preserve">Vérifier que définir un mot de passe horodate le changement et exige le renouvellement, et qu'aucune page ni route de l'application ne s'authentifie hors du garde qui applique cette exigence.</w:t>
            </w:r>
          </w:p>
        </w:tc>
        <w:tc>
          <w:tcPr>
            <w:tcW w:type="pct" w:w="45%"/>
            <w:tcMar>
              <w:top w:type="dxa" w:w="80"/>
              <w:left w:type="dxa" w:w="110"/>
              <w:bottom w:type="dxa" w:w="80"/>
              <w:right w:type="dxa" w:w="110"/>
            </w:tcMar>
          </w:tcPr>
          <w:p>
            <w:pPr>
              <w:spacing w:after="0"/>
            </w:pPr>
            <w:r>
              <w:rPr>
                <w:sz w:val="17"/>
                <w:szCs w:val="17"/>
              </w:rPr>
              <w:t xml:space="preserve">consommation de jeton et changement personnel horodatés et exigence levée, compte d'amorçage horodaté et marqué à renouveler ; requireUser() redirige vers l'écran de renouvellement ; 57 point(s) d'entrée relus, aucun ne s'authentifie hors du garde (3 exceptions nommées : mise en page, connexion, renouvellement)</w:t>
            </w:r>
          </w:p>
        </w:tc>
        <w:tc>
          <w:tcPr>
            <w:tcW w:type="pct" w:w="12%"/>
            <w:tcMar>
              <w:top w:type="dxa" w:w="80"/>
              <w:left w:type="dxa" w:w="110"/>
              <w:bottom w:type="dxa" w:w="80"/>
              <w:right w:type="dxa" w:w="110"/>
            </w:tcMar>
          </w:tcPr>
          <w:p>
            <w:pPr>
              <w:spacing w:after="40"/>
            </w:pPr>
            <w:r>
              <w:rPr>
                <w:b/>
                <w:bCs/>
                <w:color w:val="047857"/>
                <w:sz w:val="17"/>
                <w:szCs w:val="17"/>
              </w:rPr>
              <w:t xml:space="preserve">Conforme</w:t>
            </w:r>
          </w:p>
          <w:p>
            <w:pPr>
              <w:spacing w:after="0"/>
            </w:pPr>
            <w:r>
              <w:rPr>
                <w:color w:val="475569"/>
                <w:sz w:val="14"/>
                <w:szCs w:val="14"/>
              </w:rPr>
              <w:t xml:space="preserve">12 ms</w:t>
            </w:r>
          </w:p>
        </w:tc>
      </w:tr>
      <w:tr>
        <w:tc>
          <w:tcPr>
            <w:tcW w:type="pct" w:w="13%"/>
            <w:shd w:fill="F8FAFC"/>
            <w:tcMar>
              <w:top w:type="dxa" w:w="80"/>
              <w:left w:type="dxa" w:w="110"/>
              <w:bottom w:type="dxa" w:w="80"/>
              <w:right w:type="dxa" w:w="110"/>
            </w:tcMar>
          </w:tcPr>
          <w:p>
            <w:pPr>
              <w:spacing w:after="50"/>
            </w:pPr>
            <w:r>
              <w:rPr>
                <w:b/>
                <w:bCs/>
                <w:color w:val="4338CA"/>
                <w:sz w:val="17"/>
                <w:szCs w:val="17"/>
              </w:rPr>
              <w:t xml:space="preserve">OQ-27</w:t>
            </w:r>
          </w:p>
          <w:p>
            <w:pPr>
              <w:spacing w:after="0"/>
            </w:pPr>
            <w:r>
              <w:rPr>
                <w:color w:val="475569"/>
                <w:sz w:val="15"/>
                <w:szCs w:val="15"/>
              </w:rPr>
              <w:t xml:space="preserve">URS-31</w:t>
            </w:r>
          </w:p>
        </w:tc>
        <w:tc>
          <w:tcPr>
            <w:tcW w:type="pct" w:w="30%"/>
            <w:tcMar>
              <w:top w:type="dxa" w:w="80"/>
              <w:left w:type="dxa" w:w="110"/>
              <w:bottom w:type="dxa" w:w="80"/>
              <w:right w:type="dxa" w:w="110"/>
            </w:tcMar>
          </w:tcPr>
          <w:p>
            <w:pPr>
              <w:spacing w:after="50"/>
            </w:pPr>
            <w:r>
              <w:rPr>
                <w:b/>
                <w:bCs/>
                <w:sz w:val="17"/>
                <w:szCs w:val="17"/>
              </w:rPr>
              <w:t xml:space="preserve">Réinitialisation par jeton : usage unique, borné dans le temps, lié à un seul compte</w:t>
            </w:r>
          </w:p>
          <w:p>
            <w:pPr>
              <w:spacing w:after="0"/>
            </w:pPr>
            <w:r>
              <w:rPr>
                <w:color w:val="475569"/>
                <w:sz w:val="15"/>
                <w:szCs w:val="15"/>
              </w:rPr>
              <w:t xml:space="preserve">Vérifier qu'un jeton n'est stocké que haché, qu'il ouvre le choix du mot de passe une seule fois, qu'il expire, qu'il ne vaut que pour le compte auquel il a été émis, et qu'une réémission révoque le précédent.</w:t>
            </w:r>
          </w:p>
        </w:tc>
        <w:tc>
          <w:tcPr>
            <w:tcW w:type="pct" w:w="45%"/>
            <w:tcMar>
              <w:top w:type="dxa" w:w="80"/>
              <w:left w:type="dxa" w:w="110"/>
              <w:bottom w:type="dxa" w:w="80"/>
              <w:right w:type="dxa" w:w="110"/>
            </w:tcMar>
          </w:tcPr>
          <w:p>
            <w:pPr>
              <w:spacing w:after="0"/>
            </w:pPr>
            <w:r>
              <w:rPr>
                <w:sz w:val="17"/>
                <w:szCs w:val="17"/>
              </w:rPr>
              <w:t xml:space="preserve">jeton stocké sous forme d'empreinte SHA-256 seule ; refusé sur un compte étranger, au rejeu (« utilise »), après expiration (« expire ») et après réémission ; accepté une fois, saisie normalisée, posant le mot de passe choisi par le titulaire sans réimposer de renouvellement ; 1 session révoquée à l'émission ; émission refusée sur compte désactivé</w:t>
            </w:r>
          </w:p>
        </w:tc>
        <w:tc>
          <w:tcPr>
            <w:tcW w:type="pct" w:w="12%"/>
            <w:tcMar>
              <w:top w:type="dxa" w:w="80"/>
              <w:left w:type="dxa" w:w="110"/>
              <w:bottom w:type="dxa" w:w="80"/>
              <w:right w:type="dxa" w:w="110"/>
            </w:tcMar>
          </w:tcPr>
          <w:p>
            <w:pPr>
              <w:spacing w:after="40"/>
            </w:pPr>
            <w:r>
              <w:rPr>
                <w:b/>
                <w:bCs/>
                <w:color w:val="047857"/>
                <w:sz w:val="17"/>
                <w:szCs w:val="17"/>
              </w:rPr>
              <w:t xml:space="preserve">Conforme</w:t>
            </w:r>
          </w:p>
          <w:p>
            <w:pPr>
              <w:spacing w:after="0"/>
            </w:pPr>
            <w:r>
              <w:rPr>
                <w:color w:val="475569"/>
                <w:sz w:val="14"/>
                <w:szCs w:val="14"/>
              </w:rPr>
              <w:t xml:space="preserve">261 ms</w:t>
            </w:r>
          </w:p>
        </w:tc>
      </w:tr>
      <w:tr>
        <w:tc>
          <w:tcPr>
            <w:tcW w:type="pct" w:w="13%"/>
            <w:shd w:fill="F8FAFC"/>
            <w:tcMar>
              <w:top w:type="dxa" w:w="80"/>
              <w:left w:type="dxa" w:w="110"/>
              <w:bottom w:type="dxa" w:w="80"/>
              <w:right w:type="dxa" w:w="110"/>
            </w:tcMar>
          </w:tcPr>
          <w:p>
            <w:pPr>
              <w:spacing w:after="50"/>
            </w:pPr>
            <w:r>
              <w:rPr>
                <w:b/>
                <w:bCs/>
                <w:color w:val="4338CA"/>
                <w:sz w:val="17"/>
                <w:szCs w:val="17"/>
              </w:rPr>
              <w:t xml:space="preserve">OQ-28</w:t>
            </w:r>
          </w:p>
          <w:p>
            <w:pPr>
              <w:spacing w:after="0"/>
            </w:pPr>
            <w:r>
              <w:rPr>
                <w:color w:val="475569"/>
                <w:sz w:val="15"/>
                <w:szCs w:val="15"/>
              </w:rPr>
              <w:t xml:space="preserve">URS-31</w:t>
            </w:r>
          </w:p>
        </w:tc>
        <w:tc>
          <w:tcPr>
            <w:tcW w:type="pct" w:w="30%"/>
            <w:tcMar>
              <w:top w:type="dxa" w:w="80"/>
              <w:left w:type="dxa" w:w="110"/>
              <w:bottom w:type="dxa" w:w="80"/>
              <w:right w:type="dxa" w:w="110"/>
            </w:tcMar>
          </w:tcPr>
          <w:p>
            <w:pPr>
              <w:spacing w:after="50"/>
            </w:pPr>
            <w:r>
              <w:rPr>
                <w:b/>
                <w:bCs/>
                <w:sz w:val="17"/>
                <w:szCs w:val="17"/>
              </w:rPr>
              <w:t xml:space="preserve">Aucun chemin ne permet de poser le mot de passe d'un autre</w:t>
            </w:r>
          </w:p>
          <w:p>
            <w:pPr>
              <w:spacing w:after="0"/>
            </w:pPr>
            <w:r>
              <w:rPr>
                <w:color w:val="475569"/>
                <w:sz w:val="15"/>
                <w:szCs w:val="15"/>
              </w:rPr>
              <w:t xml:space="preserve">Vérifier, en relisant la source, que la seule écriture de mot de passe portant sur autrui passe par la consommation d'un jeton, et qu'aucun formulaire ni outil de console ne fait saisir le mot de passe d'un tiers.</w:t>
            </w:r>
          </w:p>
        </w:tc>
        <w:tc>
          <w:tcPr>
            <w:tcW w:type="pct" w:w="45%"/>
            <w:tcMar>
              <w:top w:type="dxa" w:w="80"/>
              <w:left w:type="dxa" w:w="110"/>
              <w:bottom w:type="dxa" w:w="80"/>
              <w:right w:type="dxa" w:w="110"/>
            </w:tcMar>
          </w:tcPr>
          <w:p>
            <w:pPr>
              <w:spacing w:after="0"/>
            </w:pPr>
            <w:r>
              <w:rPr>
                <w:sz w:val="17"/>
                <w:szCs w:val="17"/>
              </w:rPr>
              <w:t xml:space="preserve">242 fichier(s) source relus : aucune écriture de mot de passe hors des chemins autorisés ; une seule écriture dans les actions serveur, le changement personnel, qui exige l'ancien mot de passe ; l'outil d'urgence de la console émet un jeton et ne sait plus dériver de mot de passe ; aucun champ de mot de passe hors des 7 écrans où l'on saisit le sien</w:t>
            </w:r>
          </w:p>
        </w:tc>
        <w:tc>
          <w:tcPr>
            <w:tcW w:type="pct" w:w="12%"/>
            <w:tcMar>
              <w:top w:type="dxa" w:w="80"/>
              <w:left w:type="dxa" w:w="110"/>
              <w:bottom w:type="dxa" w:w="80"/>
              <w:right w:type="dxa" w:w="110"/>
            </w:tcMar>
          </w:tcPr>
          <w:p>
            <w:pPr>
              <w:spacing w:after="40"/>
            </w:pPr>
            <w:r>
              <w:rPr>
                <w:b/>
                <w:bCs/>
                <w:color w:val="047857"/>
                <w:sz w:val="17"/>
                <w:szCs w:val="17"/>
              </w:rPr>
              <w:t xml:space="preserve">Conforme</w:t>
            </w:r>
          </w:p>
          <w:p>
            <w:pPr>
              <w:spacing w:after="0"/>
            </w:pPr>
            <w:r>
              <w:rPr>
                <w:color w:val="475569"/>
                <w:sz w:val="14"/>
                <w:szCs w:val="14"/>
              </w:rPr>
              <w:t xml:space="preserve">47 ms</w:t>
            </w:r>
          </w:p>
        </w:tc>
      </w:tr>
      <w:tr>
        <w:tc>
          <w:tcPr>
            <w:tcW w:type="pct" w:w="13%"/>
            <w:shd w:fill="F8FAFC"/>
            <w:tcMar>
              <w:top w:type="dxa" w:w="80"/>
              <w:left w:type="dxa" w:w="110"/>
              <w:bottom w:type="dxa" w:w="80"/>
              <w:right w:type="dxa" w:w="110"/>
            </w:tcMar>
          </w:tcPr>
          <w:p>
            <w:pPr>
              <w:spacing w:after="50"/>
            </w:pPr>
            <w:r>
              <w:rPr>
                <w:b/>
                <w:bCs/>
                <w:color w:val="4338CA"/>
                <w:sz w:val="17"/>
                <w:szCs w:val="17"/>
              </w:rPr>
              <w:t xml:space="preserve">OQ-29</w:t>
            </w:r>
          </w:p>
          <w:p>
            <w:pPr>
              <w:spacing w:after="0"/>
            </w:pPr>
            <w:r>
              <w:rPr>
                <w:color w:val="475569"/>
                <w:sz w:val="15"/>
                <w:szCs w:val="15"/>
              </w:rPr>
              <w:t xml:space="preserve">URS-32</w:t>
            </w:r>
          </w:p>
        </w:tc>
        <w:tc>
          <w:tcPr>
            <w:tcW w:type="pct" w:w="30%"/>
            <w:tcMar>
              <w:top w:type="dxa" w:w="80"/>
              <w:left w:type="dxa" w:w="110"/>
              <w:bottom w:type="dxa" w:w="80"/>
              <w:right w:type="dxa" w:w="110"/>
            </w:tcMar>
          </w:tcPr>
          <w:p>
            <w:pPr>
              <w:spacing w:after="50"/>
            </w:pPr>
            <w:r>
              <w:rPr>
                <w:b/>
                <w:bCs/>
                <w:sz w:val="17"/>
                <w:szCs w:val="17"/>
              </w:rPr>
              <w:t xml:space="preserve">L'image livrée démarre, s'amorce, et ne divulgue rien</w:t>
            </w:r>
          </w:p>
          <w:p>
            <w:pPr>
              <w:spacing w:after="0"/>
            </w:pPr>
            <w:r>
              <w:rPr>
                <w:color w:val="475569"/>
                <w:sz w:val="15"/>
                <w:szCs w:val="15"/>
              </w:rPr>
              <w:t xml:space="preserve">Démarrer un conteneur depuis l'image réellement construite, sur des volumes vierges, et vérifier dans SON journal et par SES réponses HTTP que l'installation aboutit — au lieu de le déduire du code source, qui ne dit rien de ce que l'image contient.</w:t>
            </w:r>
          </w:p>
        </w:tc>
        <w:tc>
          <w:tcPr>
            <w:tcW w:type="pct" w:w="45%"/>
            <w:tcMar>
              <w:top w:type="dxa" w:w="80"/>
              <w:left w:type="dxa" w:w="110"/>
              <w:bottom w:type="dxa" w:w="80"/>
              <w:right w:type="dxa" w:w="110"/>
            </w:tcMar>
          </w:tcPr>
          <w:p>
            <w:pPr>
              <w:spacing w:after="0"/>
            </w:pPr>
            <w:r>
              <w:rPr>
                <w:sz w:val="17"/>
                <w:szCs w:val="17"/>
              </w:rPr>
              <w:t xml:space="preserve">image filum:latest démarrée sur volumes vierges, conteneur SAIN ; migrations appliquées, chaîne de piste d'audit intacte, organisation, programme, compte administrateur et bibliothèque de normes créés ; version 1.2.1 annoncée au journal ET portée par /app/VERSION ; police et profil ICC des copies d'archivage présents dans l'image ; /login répond 200 ; une route protégée rend l'écran de connexion (10462 octets) sans divulguer ni le nom de l'organisation ni celui du programme</w:t>
            </w:r>
          </w:p>
        </w:tc>
        <w:tc>
          <w:tcPr>
            <w:tcW w:type="pct" w:w="12%"/>
            <w:tcMar>
              <w:top w:type="dxa" w:w="80"/>
              <w:left w:type="dxa" w:w="110"/>
              <w:bottom w:type="dxa" w:w="80"/>
              <w:right w:type="dxa" w:w="110"/>
            </w:tcMar>
          </w:tcPr>
          <w:p>
            <w:pPr>
              <w:spacing w:after="40"/>
            </w:pPr>
            <w:r>
              <w:rPr>
                <w:b/>
                <w:bCs/>
                <w:color w:val="047857"/>
                <w:sz w:val="17"/>
                <w:szCs w:val="17"/>
              </w:rPr>
              <w:t xml:space="preserve">Conforme</w:t>
            </w:r>
          </w:p>
          <w:p>
            <w:pPr>
              <w:spacing w:after="0"/>
            </w:pPr>
            <w:r>
              <w:rPr>
                <w:color w:val="475569"/>
                <w:sz w:val="14"/>
                <w:szCs w:val="14"/>
              </w:rPr>
              <w:t xml:space="preserve">10742 ms</w:t>
            </w:r>
          </w:p>
        </w:tc>
      </w:tr>
      <w:tr>
        <w:tc>
          <w:tcPr>
            <w:tcW w:type="pct" w:w="13%"/>
            <w:shd w:fill="F8FAFC"/>
            <w:tcMar>
              <w:top w:type="dxa" w:w="80"/>
              <w:left w:type="dxa" w:w="110"/>
              <w:bottom w:type="dxa" w:w="80"/>
              <w:right w:type="dxa" w:w="110"/>
            </w:tcMar>
          </w:tcPr>
          <w:p>
            <w:pPr>
              <w:spacing w:after="50"/>
            </w:pPr>
            <w:r>
              <w:rPr>
                <w:b/>
                <w:bCs/>
                <w:color w:val="4338CA"/>
                <w:sz w:val="17"/>
                <w:szCs w:val="17"/>
              </w:rPr>
              <w:t xml:space="preserve">OQ-30</w:t>
            </w:r>
          </w:p>
          <w:p>
            <w:pPr>
              <w:spacing w:after="0"/>
            </w:pPr>
            <w:r>
              <w:rPr>
                <w:color w:val="475569"/>
                <w:sz w:val="15"/>
                <w:szCs w:val="15"/>
              </w:rPr>
              <w:t xml:space="preserve">URS-33</w:t>
            </w:r>
          </w:p>
        </w:tc>
        <w:tc>
          <w:tcPr>
            <w:tcW w:type="pct" w:w="30%"/>
            <w:tcMar>
              <w:top w:type="dxa" w:w="80"/>
              <w:left w:type="dxa" w:w="110"/>
              <w:bottom w:type="dxa" w:w="80"/>
              <w:right w:type="dxa" w:w="110"/>
            </w:tcMar>
          </w:tcPr>
          <w:p>
            <w:pPr>
              <w:spacing w:after="50"/>
            </w:pPr>
            <w:r>
              <w:rPr>
                <w:b/>
                <w:bCs/>
                <w:sz w:val="17"/>
                <w:szCs w:val="17"/>
              </w:rPr>
              <w:t xml:space="preserve">Piste d'audit bilingue — rendu, vocabulaire, données, et empreinte du message</w:t>
            </w:r>
          </w:p>
          <w:p>
            <w:pPr>
              <w:spacing w:after="0"/>
            </w:pPr>
            <w:r>
              <w:rPr>
                <w:color w:val="475569"/>
                <w:sz w:val="15"/>
                <w:szCs w:val="15"/>
              </w:rPr>
              <w:t xml:space="preserve">Vérifier que le catalogue est complet dans les deux langues, qu'une entrée écrite par l'application se relit en français et en anglais, que le vocabulaire du logiciel suit la langue pendant que la donnée saisie reste intacte, que la clé et les arguments sont couverts par l'empreinte, et que les entrées antérieures gardent la leur.</w:t>
            </w:r>
          </w:p>
        </w:tc>
        <w:tc>
          <w:tcPr>
            <w:tcW w:type="pct" w:w="45%"/>
            <w:tcMar>
              <w:top w:type="dxa" w:w="80"/>
              <w:left w:type="dxa" w:w="110"/>
              <w:bottom w:type="dxa" w:w="80"/>
              <w:right w:type="dxa" w:w="110"/>
            </w:tcMar>
          </w:tcPr>
          <w:p>
            <w:pPr>
              <w:spacing w:after="0"/>
            </w:pPr>
            <w:r>
              <w:rPr>
                <w:sz w:val="17"/>
                <w:szCs w:val="17"/>
              </w:rPr>
              <w:t xml:space="preserve">199 messages du catalogue complets dans les deux langues et à variables identiques ; entrée écrite par le point de passage relue « SPEC-OQ30 : En attente → Justifié — justification : ess… » et « SPEC-OQ30: Pending → Justified — justification: essai d… » ; le statut suit la langue, le motif saisi est restitué à l'identique dans les deux ; réécriture des arguments et changement de clé détectés au rang 64, chaîne rétablie après remise en état ; une entrée sans message se sérialise sur 9 champs comme avant, 11 avec, miroir de console identique sur les deux formes</w:t>
            </w:r>
          </w:p>
        </w:tc>
        <w:tc>
          <w:tcPr>
            <w:tcW w:type="pct" w:w="12%"/>
            <w:tcMar>
              <w:top w:type="dxa" w:w="80"/>
              <w:left w:type="dxa" w:w="110"/>
              <w:bottom w:type="dxa" w:w="80"/>
              <w:right w:type="dxa" w:w="110"/>
            </w:tcMar>
          </w:tcPr>
          <w:p>
            <w:pPr>
              <w:spacing w:after="40"/>
            </w:pPr>
            <w:r>
              <w:rPr>
                <w:b/>
                <w:bCs/>
                <w:color w:val="047857"/>
                <w:sz w:val="17"/>
                <w:szCs w:val="17"/>
              </w:rPr>
              <w:t xml:space="preserve">Conforme</w:t>
            </w:r>
          </w:p>
          <w:p>
            <w:pPr>
              <w:spacing w:after="0"/>
            </w:pPr>
            <w:r>
              <w:rPr>
                <w:color w:val="475569"/>
                <w:sz w:val="14"/>
                <w:szCs w:val="14"/>
              </w:rPr>
              <w:t xml:space="preserve">23 ms</w:t>
            </w:r>
          </w:p>
        </w:tc>
      </w:tr>
      <w:tr>
        <w:tc>
          <w:tcPr>
            <w:tcW w:type="pct" w:w="13%"/>
            <w:shd w:fill="F8FAFC"/>
            <w:tcMar>
              <w:top w:type="dxa" w:w="80"/>
              <w:left w:type="dxa" w:w="110"/>
              <w:bottom w:type="dxa" w:w="80"/>
              <w:right w:type="dxa" w:w="110"/>
            </w:tcMar>
          </w:tcPr>
          <w:p>
            <w:pPr>
              <w:spacing w:after="50"/>
            </w:pPr>
            <w:r>
              <w:rPr>
                <w:b/>
                <w:bCs/>
                <w:color w:val="4338CA"/>
                <w:sz w:val="17"/>
                <w:szCs w:val="17"/>
              </w:rPr>
              <w:t xml:space="preserve">OQ-31</w:t>
            </w:r>
          </w:p>
          <w:p>
            <w:pPr>
              <w:spacing w:after="0"/>
            </w:pPr>
            <w:r>
              <w:rPr>
                <w:color w:val="475569"/>
                <w:sz w:val="15"/>
                <w:szCs w:val="15"/>
              </w:rPr>
              <w:t xml:space="preserve">URS-34</w:t>
            </w:r>
          </w:p>
        </w:tc>
        <w:tc>
          <w:tcPr>
            <w:tcW w:type="pct" w:w="30%"/>
            <w:tcMar>
              <w:top w:type="dxa" w:w="80"/>
              <w:left w:type="dxa" w:w="110"/>
              <w:bottom w:type="dxa" w:w="80"/>
              <w:right w:type="dxa" w:w="110"/>
            </w:tcMar>
          </w:tcPr>
          <w:p>
            <w:pPr>
              <w:spacing w:after="50"/>
            </w:pPr>
            <w:r>
              <w:rPr>
                <w:b/>
                <w:bCs/>
                <w:sz w:val="17"/>
                <w:szCs w:val="17"/>
              </w:rPr>
              <w:t xml:space="preserve">Copie d'archivage PDF/A — structure, ressources embarquées, et texte relisible</w:t>
            </w:r>
          </w:p>
          <w:p>
            <w:pPr>
              <w:spacing w:after="0"/>
            </w:pPr>
            <w:r>
              <w:rPr>
                <w:color w:val="475569"/>
                <w:sz w:val="15"/>
                <w:szCs w:val="15"/>
              </w:rPr>
              <w:t xml:space="preserve">Vérifier qu'un enregistrement figé produit une copie PDF/A-2b dont la police et le profil colorimétrique sont embarqués, dont les métadonnées déclarent la conformité visée, dont la table de références croisées pointe les vraies positions, et dont le texte se retraduit intégralement en caractères — accents compris.</w:t>
            </w:r>
          </w:p>
        </w:tc>
        <w:tc>
          <w:tcPr>
            <w:tcW w:type="pct" w:w="45%"/>
            <w:tcMar>
              <w:top w:type="dxa" w:w="80"/>
              <w:left w:type="dxa" w:w="110"/>
              <w:bottom w:type="dxa" w:w="80"/>
              <w:right w:type="dxa" w:w="110"/>
            </w:tcMar>
          </w:tcPr>
          <w:p>
            <w:pPr>
              <w:spacing w:after="0"/>
            </w:pPr>
            <w:r>
              <w:rPr>
                <w:sz w:val="17"/>
                <w:szCs w:val="17"/>
              </w:rPr>
              <w:t xml:space="preserve">copie d'archivage de OQ-012-revision rév. 001 produite (124014 octets, 1 page·s) ; 30 contrôles structurels PDF/A-2b passés — police embarquée, profil ICC « acsp » de 3024 octets, métadonnées pdfaid partie 2 niveau B, décalages exacts ; texte intégralement relu par la table du fichier, 43 caractère·s accentué·s ou typographiques restitués ; production déterministe (deux exécutions octet pour octet identiques)</w:t>
            </w:r>
          </w:p>
        </w:tc>
        <w:tc>
          <w:tcPr>
            <w:tcW w:type="pct" w:w="12%"/>
            <w:tcMar>
              <w:top w:type="dxa" w:w="80"/>
              <w:left w:type="dxa" w:w="110"/>
              <w:bottom w:type="dxa" w:w="80"/>
              <w:right w:type="dxa" w:w="110"/>
            </w:tcMar>
          </w:tcPr>
          <w:p>
            <w:pPr>
              <w:spacing w:after="40"/>
            </w:pPr>
            <w:r>
              <w:rPr>
                <w:b/>
                <w:bCs/>
                <w:color w:val="047857"/>
                <w:sz w:val="17"/>
                <w:szCs w:val="17"/>
              </w:rPr>
              <w:t xml:space="preserve">Conforme</w:t>
            </w:r>
          </w:p>
          <w:p>
            <w:pPr>
              <w:spacing w:after="0"/>
            </w:pPr>
            <w:r>
              <w:rPr>
                <w:color w:val="475569"/>
                <w:sz w:val="14"/>
                <w:szCs w:val="14"/>
              </w:rPr>
              <w:t xml:space="preserve">26 ms</w:t>
            </w:r>
          </w:p>
        </w:tc>
      </w:tr>
      <w:tr>
        <w:tc>
          <w:tcPr>
            <w:tcW w:type="pct" w:w="13%"/>
            <w:shd w:fill="F8FAFC"/>
            <w:tcMar>
              <w:top w:type="dxa" w:w="80"/>
              <w:left w:type="dxa" w:w="110"/>
              <w:bottom w:type="dxa" w:w="80"/>
              <w:right w:type="dxa" w:w="110"/>
            </w:tcMar>
          </w:tcPr>
          <w:p>
            <w:pPr>
              <w:spacing w:after="50"/>
            </w:pPr>
            <w:r>
              <w:rPr>
                <w:b/>
                <w:bCs/>
                <w:color w:val="4338CA"/>
                <w:sz w:val="17"/>
                <w:szCs w:val="17"/>
              </w:rPr>
              <w:t xml:space="preserve">OQ-32</w:t>
            </w:r>
          </w:p>
          <w:p>
            <w:pPr>
              <w:spacing w:after="0"/>
            </w:pPr>
            <w:r>
              <w:rPr>
                <w:color w:val="475569"/>
                <w:sz w:val="15"/>
                <w:szCs w:val="15"/>
              </w:rPr>
              <w:t xml:space="preserve">URS-35</w:t>
            </w:r>
          </w:p>
        </w:tc>
        <w:tc>
          <w:tcPr>
            <w:tcW w:type="pct" w:w="30%"/>
            <w:tcMar>
              <w:top w:type="dxa" w:w="80"/>
              <w:left w:type="dxa" w:w="110"/>
              <w:bottom w:type="dxa" w:w="80"/>
              <w:right w:type="dxa" w:w="110"/>
            </w:tcMar>
          </w:tcPr>
          <w:p>
            <w:pPr>
              <w:spacing w:after="50"/>
            </w:pPr>
            <w:r>
              <w:rPr>
                <w:b/>
                <w:bCs/>
                <w:sz w:val="17"/>
                <w:szCs w:val="17"/>
              </w:rPr>
              <w:t xml:space="preserve">Couverture des revues de piste : contiguë par rang, figée à l'ouverture, sans revue concurrente</w:t>
            </w:r>
          </w:p>
          <w:p>
            <w:pPr>
              <w:spacing w:after="0"/>
            </w:pPr>
            <w:r>
              <w:rPr>
                <w:color w:val="475569"/>
                <w:sz w:val="15"/>
                <w:szCs w:val="15"/>
              </w:rPr>
              <w:t xml:space="preserve">Vérifier qu'une revue fige sa fenêtre à l'ouverture — les entrées écrites pendant qu'elle est ouverte, y compris celles qu'elle produit elle-même, tombent dans la suivante —, qu'aucune seconde revue ne peut être ouverte en parallèle, qu'une fenêtre vide est refusée, et que deux revues successives ne laissent ni lacune ni recouvrement.</w:t>
            </w:r>
          </w:p>
        </w:tc>
        <w:tc>
          <w:tcPr>
            <w:tcW w:type="pct" w:w="45%"/>
            <w:tcMar>
              <w:top w:type="dxa" w:w="80"/>
              <w:left w:type="dxa" w:w="110"/>
              <w:bottom w:type="dxa" w:w="80"/>
              <w:right w:type="dxa" w:w="110"/>
            </w:tcMar>
          </w:tcPr>
          <w:p>
            <w:pPr>
              <w:spacing w:after="0"/>
            </w:pPr>
            <w:r>
              <w:rPr>
                <w:sz w:val="17"/>
                <w:szCs w:val="17"/>
              </w:rPr>
              <w:t xml:space="preserve">fenêtres successives 1-67 puis 68-70 : contiguës, sans recouvrement ni lacune ; ouverture concurrente refusée (« dejaOuverte ») ; l'entrée écrite PENDANT la première revue est tombée dans la seconde fenêtre, la fenêtre figée n'ayant pas bougé ; couverture atteinte au rang 74 sur 76, 0 lacune ; aucune rupture ajoutée à la chaîne sur 75 entrées</w:t>
            </w:r>
          </w:p>
        </w:tc>
        <w:tc>
          <w:tcPr>
            <w:tcW w:type="pct" w:w="12%"/>
            <w:tcMar>
              <w:top w:type="dxa" w:w="80"/>
              <w:left w:type="dxa" w:w="110"/>
              <w:bottom w:type="dxa" w:w="80"/>
              <w:right w:type="dxa" w:w="110"/>
            </w:tcMar>
          </w:tcPr>
          <w:p>
            <w:pPr>
              <w:spacing w:after="40"/>
            </w:pPr>
            <w:r>
              <w:rPr>
                <w:b/>
                <w:bCs/>
                <w:color w:val="047857"/>
                <w:sz w:val="17"/>
                <w:szCs w:val="17"/>
              </w:rPr>
              <w:t xml:space="preserve">Conforme</w:t>
            </w:r>
          </w:p>
          <w:p>
            <w:pPr>
              <w:spacing w:after="0"/>
            </w:pPr>
            <w:r>
              <w:rPr>
                <w:color w:val="475569"/>
                <w:sz w:val="14"/>
                <w:szCs w:val="14"/>
              </w:rPr>
              <w:t xml:space="preserve">142 ms</w:t>
            </w:r>
          </w:p>
        </w:tc>
      </w:tr>
      <w:tr>
        <w:tc>
          <w:tcPr>
            <w:tcW w:type="pct" w:w="13%"/>
            <w:shd w:fill="F8FAFC"/>
            <w:tcMar>
              <w:top w:type="dxa" w:w="80"/>
              <w:left w:type="dxa" w:w="110"/>
              <w:bottom w:type="dxa" w:w="80"/>
              <w:right w:type="dxa" w:w="110"/>
            </w:tcMar>
          </w:tcPr>
          <w:p>
            <w:pPr>
              <w:spacing w:after="50"/>
            </w:pPr>
            <w:r>
              <w:rPr>
                <w:b/>
                <w:bCs/>
                <w:color w:val="4338CA"/>
                <w:sz w:val="17"/>
                <w:szCs w:val="17"/>
              </w:rPr>
              <w:t xml:space="preserve">OQ-33</w:t>
            </w:r>
          </w:p>
          <w:p>
            <w:pPr>
              <w:spacing w:after="0"/>
            </w:pPr>
            <w:r>
              <w:rPr>
                <w:color w:val="475569"/>
                <w:sz w:val="15"/>
                <w:szCs w:val="15"/>
              </w:rPr>
              <w:t xml:space="preserve">URS-36</w:t>
            </w:r>
          </w:p>
        </w:tc>
        <w:tc>
          <w:tcPr>
            <w:tcW w:type="pct" w:w="30%"/>
            <w:tcMar>
              <w:top w:type="dxa" w:w="80"/>
              <w:left w:type="dxa" w:w="110"/>
              <w:bottom w:type="dxa" w:w="80"/>
              <w:right w:type="dxa" w:w="110"/>
            </w:tcMar>
          </w:tcPr>
          <w:p>
            <w:pPr>
              <w:spacing w:after="50"/>
            </w:pPr>
            <w:r>
              <w:rPr>
                <w:b/>
                <w:bCs/>
                <w:sz w:val="17"/>
                <w:szCs w:val="17"/>
              </w:rPr>
              <w:t xml:space="preserve">Clôture d'une revue : signature liée à l'empreinte du contenu revu, impossible sur des lignes non statuées</w:t>
            </w:r>
          </w:p>
          <w:p>
            <w:pPr>
              <w:spacing w:after="0"/>
            </w:pPr>
            <w:r>
              <w:rPr>
                <w:color w:val="475569"/>
                <w:sz w:val="15"/>
                <w:szCs w:val="15"/>
              </w:rPr>
              <w:t xml:space="preserve">Vérifier qu'une revue refuse de se clore tant qu'une entrée retenue n'est pas statuée ou que la conclusion est vide, qu'un verdict affirmatif exige son motif, que la clôture produit une manifestation portant le nom imprimé, la signification « Revu » et l'empreinte du contenu, que cette empreinte se recalcule à l'identique hors du logiciel et change au moindre changement de contenu, que l'indépendance est mesurée sur le SIGNATAIRE, et qu'une revue close ne se rouvre pas.</w:t>
            </w:r>
          </w:p>
        </w:tc>
        <w:tc>
          <w:tcPr>
            <w:tcW w:type="pct" w:w="45%"/>
            <w:tcMar>
              <w:top w:type="dxa" w:w="80"/>
              <w:left w:type="dxa" w:w="110"/>
              <w:bottom w:type="dxa" w:w="80"/>
              <w:right w:type="dxa" w:w="110"/>
            </w:tcMar>
          </w:tcPr>
          <w:p>
            <w:pPr>
              <w:spacing w:after="0"/>
            </w:pPr>
            <w:r>
              <w:rPr>
                <w:sz w:val="17"/>
                <w:szCs w:val="17"/>
              </w:rPr>
              <w:t xml:space="preserve">clôture refusée trois fois avant d'être permise — conclusion vide, 1 entrée(s) non statuée(s), verdict affirmatif sans motif ; manifestation « Testeur QR2 (QR2) · Revu · 01/10/2026 11:08:09 UTC · enregistrement 58B2 33D2 4F55 » portant le nom imprimé, la signification « Revu » et l'empreinte du contenu ; empreinte recalculée à l'identique hors du logiciel, et modifiée par le moindre changement de conclusion ou de verdict ; indépendance consignée sur le SIGNATAIRE (0 entrée·s écrite·s par lui, contre 5 par l'ouvreur) ; 10 règles de triage inscrites dans l'enregistrement ; re-clôture et re-statuage refusés ; aucune rupture ajoutée à la chaîne sur 82 entrées</w:t>
            </w:r>
          </w:p>
        </w:tc>
        <w:tc>
          <w:tcPr>
            <w:tcW w:type="pct" w:w="12%"/>
            <w:tcMar>
              <w:top w:type="dxa" w:w="80"/>
              <w:left w:type="dxa" w:w="110"/>
              <w:bottom w:type="dxa" w:w="80"/>
              <w:right w:type="dxa" w:w="110"/>
            </w:tcMar>
          </w:tcPr>
          <w:p>
            <w:pPr>
              <w:spacing w:after="40"/>
            </w:pPr>
            <w:r>
              <w:rPr>
                <w:b/>
                <w:bCs/>
                <w:color w:val="047857"/>
                <w:sz w:val="17"/>
                <w:szCs w:val="17"/>
              </w:rPr>
              <w:t xml:space="preserve">Conforme</w:t>
            </w:r>
          </w:p>
          <w:p>
            <w:pPr>
              <w:spacing w:after="0"/>
            </w:pPr>
            <w:r>
              <w:rPr>
                <w:color w:val="475569"/>
                <w:sz w:val="14"/>
                <w:szCs w:val="14"/>
              </w:rPr>
              <w:t xml:space="preserve">142 ms</w:t>
            </w:r>
          </w:p>
        </w:tc>
      </w:tr>
      <w:tr>
        <w:tc>
          <w:tcPr>
            <w:tcW w:type="pct" w:w="13%"/>
            <w:shd w:fill="F8FAFC"/>
            <w:tcMar>
              <w:top w:type="dxa" w:w="80"/>
              <w:left w:type="dxa" w:w="110"/>
              <w:bottom w:type="dxa" w:w="80"/>
              <w:right w:type="dxa" w:w="110"/>
            </w:tcMar>
          </w:tcPr>
          <w:p>
            <w:pPr>
              <w:spacing w:after="50"/>
            </w:pPr>
            <w:r>
              <w:rPr>
                <w:b/>
                <w:bCs/>
                <w:color w:val="4338CA"/>
                <w:sz w:val="17"/>
                <w:szCs w:val="17"/>
              </w:rPr>
              <w:t xml:space="preserve">OQ-34</w:t>
            </w:r>
          </w:p>
          <w:p>
            <w:pPr>
              <w:spacing w:after="0"/>
            </w:pPr>
            <w:r>
              <w:rPr>
                <w:color w:val="475569"/>
                <w:sz w:val="15"/>
                <w:szCs w:val="15"/>
              </w:rPr>
              <w:t xml:space="preserve">URS-37</w:t>
            </w:r>
          </w:p>
        </w:tc>
        <w:tc>
          <w:tcPr>
            <w:tcW w:type="pct" w:w="30%"/>
            <w:tcMar>
              <w:top w:type="dxa" w:w="80"/>
              <w:left w:type="dxa" w:w="110"/>
              <w:bottom w:type="dxa" w:w="80"/>
              <w:right w:type="dxa" w:w="110"/>
            </w:tcMar>
          </w:tcPr>
          <w:p>
            <w:pPr>
              <w:spacing w:after="50"/>
            </w:pPr>
            <w:r>
              <w:rPr>
                <w:b/>
                <w:bCs/>
                <w:sz w:val="17"/>
                <w:szCs w:val="17"/>
              </w:rPr>
              <w:t xml:space="preserve">Qualité d'énoncé : déterministe, sans réseau, sans écriture, sans blocage</w:t>
            </w:r>
          </w:p>
          <w:p>
            <w:pPr>
              <w:spacing w:after="0"/>
            </w:pPr>
            <w:r>
              <w:rPr>
                <w:color w:val="475569"/>
                <w:sz w:val="15"/>
                <w:szCs w:val="15"/>
              </w:rPr>
              <w:t xml:space="preserve">Vérifier que les contrôles rendent le même verdict pour le même énoncé, qu'ils citent le fragment fautif tel qu'il a été écrit, qu'ils reconnaissent les motifs EARS, qu'ils ne crient pas sur des énoncés corrects — références normatives et numéros de programme compris — et que rien dans le module n'écrit en base, n'appelle le réseau, ni ne peut empêcher un enregistrement.</w:t>
            </w:r>
          </w:p>
        </w:tc>
        <w:tc>
          <w:tcPr>
            <w:tcW w:type="pct" w:w="45%"/>
            <w:tcMar>
              <w:top w:type="dxa" w:w="80"/>
              <w:left w:type="dxa" w:w="110"/>
              <w:bottom w:type="dxa" w:w="80"/>
              <w:right w:type="dxa" w:w="110"/>
            </w:tcMar>
          </w:tcPr>
          <w:p>
            <w:pPr>
              <w:spacing w:after="0"/>
            </w:pPr>
            <w:r>
              <w:rPr>
                <w:sz w:val="17"/>
                <w:szCs w:val="17"/>
              </w:rPr>
              <w:t xml:space="preserve">11 règles déterministes éprouvées sur 11 énoncés fautifs : chacune s'est déclenchée et a cité le fragment exact de l'auteur ; aucun constat sur 5 énoncés corrects, références normatives (ISO 14971, CEI 60601-1) et numéro de programme (OD-300) compris ; 5 motifs EARS reconnus sur 7 énoncés dans les deux langues, et aucun motif rendu sur une phrase sans verbe d'obligation ; 16 analyses rejouées à l'identique (déterminisme) ; le module ne référence ni base, ni réseau, ni module serveur, et la création d'exigence ne le consulte pas — aucun constat ne peut donc empêcher un enregistrement</w:t>
            </w:r>
          </w:p>
        </w:tc>
        <w:tc>
          <w:tcPr>
            <w:tcW w:type="pct" w:w="12%"/>
            <w:tcMar>
              <w:top w:type="dxa" w:w="80"/>
              <w:left w:type="dxa" w:w="110"/>
              <w:bottom w:type="dxa" w:w="80"/>
              <w:right w:type="dxa" w:w="110"/>
            </w:tcMar>
          </w:tcPr>
          <w:p>
            <w:pPr>
              <w:spacing w:after="40"/>
            </w:pPr>
            <w:r>
              <w:rPr>
                <w:b/>
                <w:bCs/>
                <w:color w:val="047857"/>
                <w:sz w:val="17"/>
                <w:szCs w:val="17"/>
              </w:rPr>
              <w:t xml:space="preserve">Conforme</w:t>
            </w:r>
          </w:p>
          <w:p>
            <w:pPr>
              <w:spacing w:after="0"/>
            </w:pPr>
            <w:r>
              <w:rPr>
                <w:color w:val="475569"/>
                <w:sz w:val="14"/>
                <w:szCs w:val="14"/>
              </w:rPr>
              <w:t xml:space="preserve">12 ms</w:t>
            </w:r>
          </w:p>
        </w:tc>
      </w:tr>
      <w:tr>
        <w:tc>
          <w:tcPr>
            <w:tcW w:type="pct" w:w="13%"/>
            <w:shd w:fill="F8FAFC"/>
            <w:tcMar>
              <w:top w:type="dxa" w:w="80"/>
              <w:left w:type="dxa" w:w="110"/>
              <w:bottom w:type="dxa" w:w="80"/>
              <w:right w:type="dxa" w:w="110"/>
            </w:tcMar>
          </w:tcPr>
          <w:p>
            <w:pPr>
              <w:spacing w:after="50"/>
            </w:pPr>
            <w:r>
              <w:rPr>
                <w:b/>
                <w:bCs/>
                <w:color w:val="4338CA"/>
                <w:sz w:val="17"/>
                <w:szCs w:val="17"/>
              </w:rPr>
              <w:t xml:space="preserve">OQ-35</w:t>
            </w:r>
          </w:p>
          <w:p>
            <w:pPr>
              <w:spacing w:after="0"/>
            </w:pPr>
            <w:r>
              <w:rPr>
                <w:color w:val="475569"/>
                <w:sz w:val="15"/>
                <w:szCs w:val="15"/>
              </w:rPr>
              <w:t xml:space="preserve">URS-38</w:t>
            </w:r>
          </w:p>
        </w:tc>
        <w:tc>
          <w:tcPr>
            <w:tcW w:type="pct" w:w="30%"/>
            <w:tcMar>
              <w:top w:type="dxa" w:w="80"/>
              <w:left w:type="dxa" w:w="110"/>
              <w:bottom w:type="dxa" w:w="80"/>
              <w:right w:type="dxa" w:w="110"/>
            </w:tcMar>
          </w:tcPr>
          <w:p>
            <w:pPr>
              <w:spacing w:after="50"/>
            </w:pPr>
            <w:r>
              <w:rPr>
                <w:b/>
                <w:bCs/>
                <w:sz w:val="17"/>
                <w:szCs w:val="17"/>
              </w:rPr>
              <w:t xml:space="preserve">Reprise d'un classeur et d'un document : extraction fidèle, correspondance des colonnes, même aperçu à blanc</w:t>
            </w:r>
          </w:p>
          <w:p>
            <w:pPr>
              <w:spacing w:after="0"/>
            </w:pPr>
            <w:r>
              <w:rPr>
                <w:color w:val="475569"/>
                <w:sz w:val="15"/>
                <w:szCs w:val="15"/>
              </w:rPr>
              <w:t xml:space="preserve">Vérifier, sur des fichiers produits par Excel et Word eux-mêmes, que chaque tableau est restitué avec ses en-têtes d'origine, qu'une cellule vide au milieu d'une ligne ne décale pas les suivantes, que les intitulés maison sont assignables à la main, que les valeurs d'énumération françaises sont ramenées aux valeurs internes, et que le tableau retenu traverse le même aperçu à blanc et la même écriture que le CSV.</w:t>
            </w:r>
          </w:p>
        </w:tc>
        <w:tc>
          <w:tcPr>
            <w:tcW w:type="pct" w:w="45%"/>
            <w:tcMar>
              <w:top w:type="dxa" w:w="80"/>
              <w:left w:type="dxa" w:w="110"/>
              <w:bottom w:type="dxa" w:w="80"/>
              <w:right w:type="dxa" w:w="110"/>
            </w:tcMar>
          </w:tcPr>
          <w:p>
            <w:pPr>
              <w:spacing w:after="0"/>
            </w:pPr>
            <w:r>
              <w:rPr>
                <w:sz w:val="17"/>
                <w:szCs w:val="17"/>
              </w:rPr>
              <w:t xml:space="preserve">classeur Excel : 2 feuille(s) restituée(s) avec leurs noms réels et leurs 5 en-têtes d'origine, dont trois que Filum ne reconnaît pas (« Req ID », « Description of requirement », « Crit. ») ; la cellule vide au milieu de SYS-102 est conservée à sa place et « PM » n'a pas glissé d'une colonne ; document Word : 3 lignes lues d'un vrai tableau. Après assignation manuelle des trois colonnes, le tableau traverse l'aperçu à blanc EXISTANT : 3 à créer, 0 rejetée, et les criticités « Haute » sont ramenées à « High ». Une criticité inconnue est signalée et laissée vide plutôt que stockée. Un fichier non-zip et un format non pris en charge sont refusés avec leur motif propre</w:t>
            </w:r>
          </w:p>
        </w:tc>
        <w:tc>
          <w:tcPr>
            <w:tcW w:type="pct" w:w="12%"/>
            <w:tcMar>
              <w:top w:type="dxa" w:w="80"/>
              <w:left w:type="dxa" w:w="110"/>
              <w:bottom w:type="dxa" w:w="80"/>
              <w:right w:type="dxa" w:w="110"/>
            </w:tcMar>
          </w:tcPr>
          <w:p>
            <w:pPr>
              <w:spacing w:after="40"/>
            </w:pPr>
            <w:r>
              <w:rPr>
                <w:b/>
                <w:bCs/>
                <w:color w:val="047857"/>
                <w:sz w:val="17"/>
                <w:szCs w:val="17"/>
              </w:rPr>
              <w:t xml:space="preserve">Conforme</w:t>
            </w:r>
          </w:p>
          <w:p>
            <w:pPr>
              <w:spacing w:after="0"/>
            </w:pPr>
            <w:r>
              <w:rPr>
                <w:color w:val="475569"/>
                <w:sz w:val="14"/>
                <w:szCs w:val="14"/>
              </w:rPr>
              <w:t xml:space="preserve">27 ms</w:t>
            </w:r>
          </w:p>
        </w:tc>
      </w:tr>
      <w:tr>
        <w:tc>
          <w:tcPr>
            <w:tcW w:type="pct" w:w="13%"/>
            <w:shd w:fill="F8FAFC"/>
            <w:tcMar>
              <w:top w:type="dxa" w:w="80"/>
              <w:left w:type="dxa" w:w="110"/>
              <w:bottom w:type="dxa" w:w="80"/>
              <w:right w:type="dxa" w:w="110"/>
            </w:tcMar>
          </w:tcPr>
          <w:p>
            <w:pPr>
              <w:spacing w:after="50"/>
            </w:pPr>
            <w:r>
              <w:rPr>
                <w:b/>
                <w:bCs/>
                <w:color w:val="4338CA"/>
                <w:sz w:val="17"/>
                <w:szCs w:val="17"/>
              </w:rPr>
              <w:t xml:space="preserve">OQ-36</w:t>
            </w:r>
          </w:p>
          <w:p>
            <w:pPr>
              <w:spacing w:after="0"/>
            </w:pPr>
            <w:r>
              <w:rPr>
                <w:color w:val="475569"/>
                <w:sz w:val="15"/>
                <w:szCs w:val="15"/>
              </w:rPr>
              <w:t xml:space="preserve">URS-39</w:t>
            </w:r>
          </w:p>
        </w:tc>
        <w:tc>
          <w:tcPr>
            <w:tcW w:type="pct" w:w="30%"/>
            <w:tcMar>
              <w:top w:type="dxa" w:w="80"/>
              <w:left w:type="dxa" w:w="110"/>
              <w:bottom w:type="dxa" w:w="80"/>
              <w:right w:type="dxa" w:w="110"/>
            </w:tcMar>
          </w:tcPr>
          <w:p>
            <w:pPr>
              <w:spacing w:after="50"/>
            </w:pPr>
            <w:r>
              <w:rPr>
                <w:b/>
                <w:bCs/>
                <w:sz w:val="17"/>
                <w:szCs w:val="17"/>
              </w:rPr>
              <w:t xml:space="preserve">Dossier technique : index déduit du graphe, hors-périmètre nommé, et aucune contradiction avec le paquet</w:t>
            </w:r>
          </w:p>
          <w:p>
            <w:pPr>
              <w:spacing w:after="0"/>
            </w:pPr>
            <w:r>
              <w:rPr>
                <w:color w:val="475569"/>
                <w:sz w:val="15"/>
                <w:szCs w:val="15"/>
              </w:rPr>
              <w:t xml:space="preserve">Vérifier que l'index couvre les 50 éléments du référentiel de diagnostic, que chaque statut se déduit du graphe et change quand le graphe change, que les éléments hors périmètre sont nommés avec leur source, que l'index ne déclare jamais absent un type de document présent dans le paquet, et que les empreintes couvrent tous les fichiers.</w:t>
            </w:r>
          </w:p>
        </w:tc>
        <w:tc>
          <w:tcPr>
            <w:tcW w:type="pct" w:w="45%"/>
            <w:tcMar>
              <w:top w:type="dxa" w:w="80"/>
              <w:left w:type="dxa" w:w="110"/>
              <w:bottom w:type="dxa" w:w="80"/>
              <w:right w:type="dxa" w:w="110"/>
            </w:tcMar>
          </w:tcPr>
          <w:p>
            <w:pPr>
              <w:spacing w:after="0"/>
            </w:pPr>
            <w:r>
              <w:rPr>
                <w:sz w:val="17"/>
                <w:szCs w:val="17"/>
              </w:rPr>
              <w:t xml:space="preserve">index de 50 éléments, identique au référentiel de diagnostic remis en amont ; sur un programme vide, 0 élément couvert et 15 hors périmètre, chacun nommant la source dont la pièce doit venir ; la création d'une seule exigence fait passer INP-1 d'« absent » à « couvert » — le statut suit le graphe et n'est pas saisi ; sur le dossier de démonstration, aucun élément n'est déclaré absent alors qu'un document de son type est publié dans le même paquet, les empreintes couvrent les 4 autres fichiers, et la lettre d'accompagnement énonce que le paquet n'est pas un dossier technique complet</w:t>
            </w:r>
          </w:p>
        </w:tc>
        <w:tc>
          <w:tcPr>
            <w:tcW w:type="pct" w:w="12%"/>
            <w:tcMar>
              <w:top w:type="dxa" w:w="80"/>
              <w:left w:type="dxa" w:w="110"/>
              <w:bottom w:type="dxa" w:w="80"/>
              <w:right w:type="dxa" w:w="110"/>
            </w:tcMar>
          </w:tcPr>
          <w:p>
            <w:pPr>
              <w:spacing w:after="40"/>
            </w:pPr>
            <w:r>
              <w:rPr>
                <w:b/>
                <w:bCs/>
                <w:color w:val="047857"/>
                <w:sz w:val="17"/>
                <w:szCs w:val="17"/>
              </w:rPr>
              <w:t xml:space="preserve">Conforme</w:t>
            </w:r>
          </w:p>
          <w:p>
            <w:pPr>
              <w:spacing w:after="0"/>
            </w:pPr>
            <w:r>
              <w:rPr>
                <w:color w:val="475569"/>
                <w:sz w:val="14"/>
                <w:szCs w:val="14"/>
              </w:rPr>
              <w:t xml:space="preserve">67 ms</w:t>
            </w:r>
          </w:p>
        </w:tc>
      </w:tr>
      <w:tr>
        <w:tc>
          <w:tcPr>
            <w:tcW w:type="pct" w:w="13%"/>
            <w:shd w:fill="F8FAFC"/>
            <w:tcMar>
              <w:top w:type="dxa" w:w="80"/>
              <w:left w:type="dxa" w:w="110"/>
              <w:bottom w:type="dxa" w:w="80"/>
              <w:right w:type="dxa" w:w="110"/>
            </w:tcMar>
          </w:tcPr>
          <w:p>
            <w:pPr>
              <w:spacing w:after="50"/>
            </w:pPr>
            <w:r>
              <w:rPr>
                <w:b/>
                <w:bCs/>
                <w:color w:val="4338CA"/>
                <w:sz w:val="17"/>
                <w:szCs w:val="17"/>
              </w:rPr>
              <w:t xml:space="preserve">OQ-37</w:t>
            </w:r>
          </w:p>
          <w:p>
            <w:pPr>
              <w:spacing w:after="0"/>
            </w:pPr>
            <w:r>
              <w:rPr>
                <w:color w:val="475569"/>
                <w:sz w:val="15"/>
                <w:szCs w:val="15"/>
              </w:rPr>
              <w:t xml:space="preserve">URS-40</w:t>
            </w:r>
          </w:p>
        </w:tc>
        <w:tc>
          <w:tcPr>
            <w:tcW w:type="pct" w:w="30%"/>
            <w:tcMar>
              <w:top w:type="dxa" w:w="80"/>
              <w:left w:type="dxa" w:w="110"/>
              <w:bottom w:type="dxa" w:w="80"/>
              <w:right w:type="dxa" w:w="110"/>
            </w:tcMar>
          </w:tcPr>
          <w:p>
            <w:pPr>
              <w:spacing w:after="50"/>
            </w:pPr>
            <w:r>
              <w:rPr>
                <w:b/>
                <w:bCs/>
                <w:sz w:val="17"/>
                <w:szCs w:val="17"/>
              </w:rPr>
              <w:t xml:space="preserve">Sauvegarde continue : journalisation WAL, volume en ajout seul, et cohérence base ↔ fichiers vérifiable</w:t>
            </w:r>
          </w:p>
          <w:p>
            <w:pPr>
              <w:spacing w:after="0"/>
            </w:pPr>
            <w:r>
              <w:rPr>
                <w:color w:val="475569"/>
                <w:sz w:val="15"/>
                <w:szCs w:val="15"/>
              </w:rPr>
              <w:t xml:space="preserve">Vérifier que la base est en journalisation WAL — condition de toute réplication continue —, que le passage est idempotent, qu'aucun chemin du logiciel ne supprime ni n'écrase dans le volume des fichiers, et que le contrôle de restauration distingue une pièce absente d'une pièce altérée en nommant celle qui manque.</w:t>
            </w:r>
          </w:p>
        </w:tc>
        <w:tc>
          <w:tcPr>
            <w:tcW w:type="pct" w:w="45%"/>
            <w:tcMar>
              <w:top w:type="dxa" w:w="80"/>
              <w:left w:type="dxa" w:w="110"/>
              <w:bottom w:type="dxa" w:w="80"/>
              <w:right w:type="dxa" w:w="110"/>
            </w:tcMar>
          </w:tcPr>
          <w:p>
            <w:pPr>
              <w:spacing w:after="0"/>
            </w:pPr>
            <w:r>
              <w:rPr>
                <w:sz w:val="17"/>
                <w:szCs w:val="17"/>
              </w:rPr>
              <w:t xml:space="preserve">base en journalisation WAL, passage idempotent ; 181 fichier(s) source relus, aucun chemin ne supprime ni n'écrase dans le volume des fichiers hors de la purge des imports — c'est cette propriété d'ajout seul qui rend sûre la règle « restaurer les fichiers à un instant égal ou postérieur à la base » ; sur 19 pièce(s) référencée(s), le retrait d'un enregistrement approuvé est signalé ABSENT et nommé (OQ-014-restauration), sa modification hors du logiciel est signalée ALTÉRÉE, les deux défauts ne sont jamais confondus, et le rapport redevient cohérent une fois la pièce remise en place</w:t>
            </w:r>
          </w:p>
        </w:tc>
        <w:tc>
          <w:tcPr>
            <w:tcW w:type="pct" w:w="12%"/>
            <w:tcMar>
              <w:top w:type="dxa" w:w="80"/>
              <w:left w:type="dxa" w:w="110"/>
              <w:bottom w:type="dxa" w:w="80"/>
              <w:right w:type="dxa" w:w="110"/>
            </w:tcMar>
          </w:tcPr>
          <w:p>
            <w:pPr>
              <w:spacing w:after="40"/>
            </w:pPr>
            <w:r>
              <w:rPr>
                <w:b/>
                <w:bCs/>
                <w:color w:val="047857"/>
                <w:sz w:val="17"/>
                <w:szCs w:val="17"/>
              </w:rPr>
              <w:t xml:space="preserve">Conforme</w:t>
            </w:r>
          </w:p>
          <w:p>
            <w:pPr>
              <w:spacing w:after="0"/>
            </w:pPr>
            <w:r>
              <w:rPr>
                <w:color w:val="475569"/>
                <w:sz w:val="14"/>
                <w:szCs w:val="14"/>
              </w:rPr>
              <w:t xml:space="preserve">215 ms</w:t>
            </w:r>
          </w:p>
        </w:tc>
      </w:tr>
      <w:tr>
        <w:tc>
          <w:tcPr>
            <w:tcW w:type="pct" w:w="13%"/>
            <w:shd w:fill="F8FAFC"/>
            <w:tcMar>
              <w:top w:type="dxa" w:w="80"/>
              <w:left w:type="dxa" w:w="110"/>
              <w:bottom w:type="dxa" w:w="80"/>
              <w:right w:type="dxa" w:w="110"/>
            </w:tcMar>
          </w:tcPr>
          <w:p>
            <w:pPr>
              <w:spacing w:after="50"/>
            </w:pPr>
            <w:r>
              <w:rPr>
                <w:b/>
                <w:bCs/>
                <w:color w:val="4338CA"/>
                <w:sz w:val="17"/>
                <w:szCs w:val="17"/>
              </w:rPr>
              <w:t xml:space="preserve">OQ-38</w:t>
            </w:r>
          </w:p>
          <w:p>
            <w:pPr>
              <w:spacing w:after="0"/>
            </w:pPr>
            <w:r>
              <w:rPr>
                <w:color w:val="475569"/>
                <w:sz w:val="15"/>
                <w:szCs w:val="15"/>
              </w:rPr>
              <w:t xml:space="preserve">URS-41</w:t>
            </w:r>
          </w:p>
        </w:tc>
        <w:tc>
          <w:tcPr>
            <w:tcW w:type="pct" w:w="30%"/>
            <w:tcMar>
              <w:top w:type="dxa" w:w="80"/>
              <w:left w:type="dxa" w:w="110"/>
              <w:bottom w:type="dxa" w:w="80"/>
              <w:right w:type="dxa" w:w="110"/>
            </w:tcMar>
          </w:tcPr>
          <w:p>
            <w:pPr>
              <w:spacing w:after="50"/>
            </w:pPr>
            <w:r>
              <w:rPr>
                <w:b/>
                <w:bCs/>
                <w:sz w:val="17"/>
                <w:szCs w:val="17"/>
              </w:rPr>
              <w:t xml:space="preserve">Mode démonstration : éteint par défaut, annoncé avant connexion, infermable, et sans effet sur les enregistrements</w:t>
            </w:r>
          </w:p>
          <w:p>
            <w:pPr>
              <w:spacing w:after="0"/>
            </w:pPr>
            <w:r>
              <w:rPr>
                <w:color w:val="475569"/>
                <w:sz w:val="15"/>
                <w:szCs w:val="15"/>
              </w:rPr>
              <w:t xml:space="preserve">Vérifier que le mode démonstration ne s'allume que sur une valeur explicite, que la période annoncée retombe sur un repli sûr plutôt que d'afficher une valeur absurde, que le bandeau RENDU dit les trois choses qu'il doit dire dans les deux langues et n'offre aucun moyen de le fermer, qu'il est posé AVANT la porte d'authentification — donc visible sur l'écran de connexion — et qu'aucun module produisant des données ou des documents ne dépend de ce mode.</w:t>
            </w:r>
          </w:p>
        </w:tc>
        <w:tc>
          <w:tcPr>
            <w:tcW w:type="pct" w:w="45%"/>
            <w:tcMar>
              <w:top w:type="dxa" w:w="80"/>
              <w:left w:type="dxa" w:w="110"/>
              <w:bottom w:type="dxa" w:w="80"/>
              <w:right w:type="dxa" w:w="110"/>
            </w:tcMar>
          </w:tcPr>
          <w:p>
            <w:pPr>
              <w:spacing w:after="0"/>
            </w:pPr>
            <w:r>
              <w:rPr>
                <w:sz w:val="17"/>
                <w:szCs w:val="17"/>
              </w:rPr>
              <w:t xml:space="preserve">mode éteint sans FILUM_DEMO et sur 10 valeurs voisines (« true », « oui », « 0 », « 1 » avec espace…), allumé sur « 1 » seul ; période annoncée bornée sur 12 valeurs, repli à 6 h pour une valeur absurde ou absente ; bandeau RENDU dans les deux langues portant les trois mentions dues — données fictives, effacement périodique, installation non qualifiée —, sans aucun bouton de fermeture et avec le rôle « alert » ; rendu AVANT la porte d'authentification, donc présent sur l'écran de connexion ; 179 fichier(s) source relus, aucun module hors de la coque ne dépend du mode</w:t>
            </w:r>
          </w:p>
        </w:tc>
        <w:tc>
          <w:tcPr>
            <w:tcW w:type="pct" w:w="12%"/>
            <w:tcMar>
              <w:top w:type="dxa" w:w="80"/>
              <w:left w:type="dxa" w:w="110"/>
              <w:bottom w:type="dxa" w:w="80"/>
              <w:right w:type="dxa" w:w="110"/>
            </w:tcMar>
          </w:tcPr>
          <w:p>
            <w:pPr>
              <w:spacing w:after="40"/>
            </w:pPr>
            <w:r>
              <w:rPr>
                <w:b/>
                <w:bCs/>
                <w:color w:val="047857"/>
                <w:sz w:val="17"/>
                <w:szCs w:val="17"/>
              </w:rPr>
              <w:t xml:space="preserve">Conforme</w:t>
            </w:r>
          </w:p>
          <w:p>
            <w:pPr>
              <w:spacing w:after="0"/>
            </w:pPr>
            <w:r>
              <w:rPr>
                <w:color w:val="475569"/>
                <w:sz w:val="14"/>
                <w:szCs w:val="14"/>
              </w:rPr>
              <w:t xml:space="preserve">497 ms</w:t>
            </w:r>
          </w:p>
        </w:tc>
      </w:tr>
      <w:tr>
        <w:tc>
          <w:tcPr>
            <w:tcW w:type="pct" w:w="13%"/>
            <w:shd w:fill="F8FAFC"/>
            <w:tcMar>
              <w:top w:type="dxa" w:w="80"/>
              <w:left w:type="dxa" w:w="110"/>
              <w:bottom w:type="dxa" w:w="80"/>
              <w:right w:type="dxa" w:w="110"/>
            </w:tcMar>
          </w:tcPr>
          <w:p>
            <w:pPr>
              <w:spacing w:after="50"/>
            </w:pPr>
            <w:r>
              <w:rPr>
                <w:b/>
                <w:bCs/>
                <w:color w:val="4338CA"/>
                <w:sz w:val="17"/>
                <w:szCs w:val="17"/>
              </w:rPr>
              <w:t xml:space="preserve">OQ-39</w:t>
            </w:r>
          </w:p>
          <w:p>
            <w:pPr>
              <w:spacing w:after="0"/>
            </w:pPr>
            <w:r>
              <w:rPr>
                <w:color w:val="475569"/>
                <w:sz w:val="15"/>
                <w:szCs w:val="15"/>
              </w:rPr>
              <w:t xml:space="preserve">URS-42</w:t>
            </w:r>
          </w:p>
        </w:tc>
        <w:tc>
          <w:tcPr>
            <w:tcW w:type="pct" w:w="30%"/>
            <w:tcMar>
              <w:top w:type="dxa" w:w="80"/>
              <w:left w:type="dxa" w:w="110"/>
              <w:bottom w:type="dxa" w:w="80"/>
              <w:right w:type="dxa" w:w="110"/>
            </w:tcMar>
          </w:tcPr>
          <w:p>
            <w:pPr>
              <w:spacing w:after="50"/>
            </w:pPr>
            <w:r>
              <w:rPr>
                <w:b/>
                <w:bCs/>
                <w:sz w:val="17"/>
                <w:szCs w:val="17"/>
              </w:rPr>
              <w:t xml:space="preserve">Vue par programme : le hors-programme est porté, le rapprochement est indépendant, et un écart se voit</w:t>
            </w:r>
          </w:p>
          <w:p>
            <w:pPr>
              <w:spacing w:after="0"/>
            </w:pPr>
            <w:r>
              <w:rPr>
                <w:color w:val="475569"/>
                <w:sz w:val="15"/>
                <w:szCs w:val="15"/>
              </w:rPr>
              <w:t xml:space="preserve">Vérifier qu'un contenu rattaché à aucun programme apparaît sur une ligne à lui au lieu de disparaître, que chaque indicateur retombe sur un total demandé séparément à la base, que la règle « exigence couverte » exprimée en requête dit la même chose que celle appliquée aux objets chargés, qu'un document dont le programme contredit celui de son activité est nommé, et — en rendant le composant — qu'un rapprochement en défaut s'affiche alors qu'un rapprochement juste n'affiche rien.</w:t>
            </w:r>
          </w:p>
        </w:tc>
        <w:tc>
          <w:tcPr>
            <w:tcW w:type="pct" w:w="45%"/>
            <w:tcMar>
              <w:top w:type="dxa" w:w="80"/>
              <w:left w:type="dxa" w:w="110"/>
              <w:bottom w:type="dxa" w:w="80"/>
              <w:right w:type="dxa" w:w="110"/>
            </w:tcMar>
          </w:tcPr>
          <w:p>
            <w:pPr>
              <w:spacing w:after="0"/>
            </w:pPr>
            <w:r>
              <w:rPr>
                <w:sz w:val="17"/>
                <w:szCs w:val="17"/>
              </w:rPr>
              <w:t xml:space="preserve">4 programme(s) et une ligne « hors programme » non vide (16 document(s), 15 exigence(s)) ; les 8 indicateurs retombent sur des totaux demandés SÉPARÉMENT à la base ; une exigence sur deux non couverte donne 50 % et non 100 %, une mère couverte par sa fille est comptée couverte, un programme sans exigence ne dit rien ; les deux expressions de « couverte » s'accordent sur 2 exigence(s) ; le document rangé dans l'activité d'un programme sans porter ce programme est nommé (OQD-ORPHELIN → Programme A) ; au rendu, un rapprochement en défaut s'affiche avec ses nombres et un rapprochement juste n'affiche rien</w:t>
            </w:r>
          </w:p>
        </w:tc>
        <w:tc>
          <w:tcPr>
            <w:tcW w:type="pct" w:w="12%"/>
            <w:tcMar>
              <w:top w:type="dxa" w:w="80"/>
              <w:left w:type="dxa" w:w="110"/>
              <w:bottom w:type="dxa" w:w="80"/>
              <w:right w:type="dxa" w:w="110"/>
            </w:tcMar>
          </w:tcPr>
          <w:p>
            <w:pPr>
              <w:spacing w:after="40"/>
            </w:pPr>
            <w:r>
              <w:rPr>
                <w:b/>
                <w:bCs/>
                <w:color w:val="047857"/>
                <w:sz w:val="17"/>
                <w:szCs w:val="17"/>
              </w:rPr>
              <w:t xml:space="preserve">Conforme</w:t>
            </w:r>
          </w:p>
          <w:p>
            <w:pPr>
              <w:spacing w:after="0"/>
            </w:pPr>
            <w:r>
              <w:rPr>
                <w:color w:val="475569"/>
                <w:sz w:val="14"/>
                <w:szCs w:val="14"/>
              </w:rPr>
              <w:t xml:space="preserve">884 ms</w:t>
            </w:r>
          </w:p>
        </w:tc>
      </w:tr>
      <w:tr>
        <w:tc>
          <w:tcPr>
            <w:tcW w:type="pct" w:w="13%"/>
            <w:shd w:fill="F8FAFC"/>
            <w:tcMar>
              <w:top w:type="dxa" w:w="80"/>
              <w:left w:type="dxa" w:w="110"/>
              <w:bottom w:type="dxa" w:w="80"/>
              <w:right w:type="dxa" w:w="110"/>
            </w:tcMar>
          </w:tcPr>
          <w:p>
            <w:pPr>
              <w:spacing w:after="50"/>
            </w:pPr>
            <w:r>
              <w:rPr>
                <w:b/>
                <w:bCs/>
                <w:color w:val="4338CA"/>
                <w:sz w:val="17"/>
                <w:szCs w:val="17"/>
              </w:rPr>
              <w:t xml:space="preserve">OQ-40</w:t>
            </w:r>
          </w:p>
          <w:p>
            <w:pPr>
              <w:spacing w:after="0"/>
            </w:pPr>
            <w:r>
              <w:rPr>
                <w:color w:val="475569"/>
                <w:sz w:val="15"/>
                <w:szCs w:val="15"/>
              </w:rPr>
              <w:t xml:space="preserve">URS-43</w:t>
            </w:r>
          </w:p>
        </w:tc>
        <w:tc>
          <w:tcPr>
            <w:tcW w:type="pct" w:w="30%"/>
            <w:tcMar>
              <w:top w:type="dxa" w:w="80"/>
              <w:left w:type="dxa" w:w="110"/>
              <w:bottom w:type="dxa" w:w="80"/>
              <w:right w:type="dxa" w:w="110"/>
            </w:tcMar>
          </w:tcPr>
          <w:p>
            <w:pPr>
              <w:spacing w:after="50"/>
            </w:pPr>
            <w:r>
              <w:rPr>
                <w:b/>
                <w:bCs/>
                <w:sz w:val="17"/>
                <w:szCs w:val="17"/>
              </w:rPr>
              <w:t xml:space="preserve">Cellules fusionnées dépliées, colonnes non décalées, feuilles nommées quel que soit le producteur</w:t>
            </w:r>
          </w:p>
          <w:p>
            <w:pPr>
              <w:spacing w:after="0"/>
            </w:pPr>
            <w:r>
              <w:rPr>
                <w:color w:val="475569"/>
                <w:sz w:val="15"/>
                <w:szCs w:val="15"/>
              </w:rPr>
              <w:t xml:space="preserve">Vérifier, sur des fichiers produits par deux bibliothèques TIERCES, qu'une fusion verticale voit sa valeur reprise sur toutes les lignes qu'elle couvre, qu'une fusion horizontale ne décale aucune colonne sans être recopiée dans les champs voisins, que les feuilles portent leur nom même quand le producteur écrit ses attributs dans un autre ordre qu'Excel, que les dates sont rendues lisibles, et qu'une formule sans valeur calculée est comptée et signalée.</w:t>
            </w:r>
          </w:p>
        </w:tc>
        <w:tc>
          <w:tcPr>
            <w:tcW w:type="pct" w:w="45%"/>
            <w:tcMar>
              <w:top w:type="dxa" w:w="80"/>
              <w:left w:type="dxa" w:w="110"/>
              <w:bottom w:type="dxa" w:w="80"/>
              <w:right w:type="dxa" w:w="110"/>
            </w:tcMar>
          </w:tcPr>
          <w:p>
            <w:pPr>
              <w:spacing w:after="0"/>
            </w:pPr>
            <w:r>
              <w:rPr>
                <w:sz w:val="17"/>
                <w:szCs w:val="17"/>
              </w:rPr>
              <w:t xml:space="preserve">sur deux vecteurs produits par des bibliothèques TIERCES (openpyxl, docx) : feuilles nommées — le classeur d'openpyxl a révélé que les relations n'étaient lues que dans l'ordre d'attributs d'Excel, et que tout fichier venu d'un autre outil s'affichait « sheet1 » ; fusion verticale dépliée sur 3 lignes dans le classeur et 3 dans le document, chaque ligne gardant ses propres valeurs ; fusion horizontale non recopiée dans la colonne voisine et sans décalage de fin de ligne ; 5 dates rendues lisibles à la bonne origine de calendrier ; 2 formules sans valeur calculée comptées et signalées ; et aucune remarque sur un tableau qui n'a rien à signaler</w:t>
            </w:r>
          </w:p>
        </w:tc>
        <w:tc>
          <w:tcPr>
            <w:tcW w:type="pct" w:w="12%"/>
            <w:tcMar>
              <w:top w:type="dxa" w:w="80"/>
              <w:left w:type="dxa" w:w="110"/>
              <w:bottom w:type="dxa" w:w="80"/>
              <w:right w:type="dxa" w:w="110"/>
            </w:tcMar>
          </w:tcPr>
          <w:p>
            <w:pPr>
              <w:spacing w:after="40"/>
            </w:pPr>
            <w:r>
              <w:rPr>
                <w:b/>
                <w:bCs/>
                <w:color w:val="047857"/>
                <w:sz w:val="17"/>
                <w:szCs w:val="17"/>
              </w:rPr>
              <w:t xml:space="preserve">Conforme</w:t>
            </w:r>
          </w:p>
          <w:p>
            <w:pPr>
              <w:spacing w:after="0"/>
            </w:pPr>
            <w:r>
              <w:rPr>
                <w:color w:val="475569"/>
                <w:sz w:val="14"/>
                <w:szCs w:val="14"/>
              </w:rPr>
              <w:t xml:space="preserve">10 ms</w:t>
            </w:r>
          </w:p>
        </w:tc>
      </w:tr>
      <w:tr>
        <w:tc>
          <w:tcPr>
            <w:tcW w:type="pct" w:w="13%"/>
            <w:shd w:fill="F8FAFC"/>
            <w:tcMar>
              <w:top w:type="dxa" w:w="80"/>
              <w:left w:type="dxa" w:w="110"/>
              <w:bottom w:type="dxa" w:w="80"/>
              <w:right w:type="dxa" w:w="110"/>
            </w:tcMar>
          </w:tcPr>
          <w:p>
            <w:pPr>
              <w:spacing w:after="50"/>
            </w:pPr>
            <w:r>
              <w:rPr>
                <w:b/>
                <w:bCs/>
                <w:color w:val="4338CA"/>
                <w:sz w:val="17"/>
                <w:szCs w:val="17"/>
              </w:rPr>
              <w:t xml:space="preserve">OQ-41</w:t>
            </w:r>
          </w:p>
          <w:p>
            <w:pPr>
              <w:spacing w:after="0"/>
            </w:pPr>
            <w:r>
              <w:rPr>
                <w:color w:val="475569"/>
                <w:sz w:val="15"/>
                <w:szCs w:val="15"/>
              </w:rPr>
              <w:t xml:space="preserve">URS-44</w:t>
            </w:r>
          </w:p>
        </w:tc>
        <w:tc>
          <w:tcPr>
            <w:tcW w:type="pct" w:w="30%"/>
            <w:tcMar>
              <w:top w:type="dxa" w:w="80"/>
              <w:left w:type="dxa" w:w="110"/>
              <w:bottom w:type="dxa" w:w="80"/>
              <w:right w:type="dxa" w:w="110"/>
            </w:tcMar>
          </w:tcPr>
          <w:p>
            <w:pPr>
              <w:spacing w:after="50"/>
            </w:pPr>
            <w:r>
              <w:rPr>
                <w:b/>
                <w:bCs/>
                <w:sz w:val="17"/>
                <w:szCs w:val="17"/>
              </w:rPr>
              <w:t xml:space="preserve">Authentification déléguée : le jeton est vérifié, personne n'est créé, et la signature reste locale</w:t>
            </w:r>
          </w:p>
          <w:p>
            <w:pPr>
              <w:spacing w:after="0"/>
            </w:pPr>
            <w:r>
              <w:rPr>
                <w:color w:val="475569"/>
                <w:sz w:val="15"/>
                <w:szCs w:val="15"/>
              </w:rPr>
              <w:t xml:space="preserve">Vérifier, sur des jetons FORGÉS pour l'occasion, qu'un jeton d'identité n'est accepté qu'après contrôle de sa signature RS256, de son émetteur, de son destinataire, de sa péremption et de son nonce ; que « alg: none » et la confusion d'algorithme sont refusées ; qu'une configuration incomplète ou en clair est traitée comme absente ; et — surtout — que le chemin de signature ne dépend d'aucun module d'authentification déléguée, de sorte que le second composant exigé par 21 CFR 11.200(a)(1) reste un secret local.</w:t>
            </w:r>
          </w:p>
        </w:tc>
        <w:tc>
          <w:tcPr>
            <w:tcW w:type="pct" w:w="45%"/>
            <w:tcMar>
              <w:top w:type="dxa" w:w="80"/>
              <w:left w:type="dxa" w:w="110"/>
              <w:bottom w:type="dxa" w:w="80"/>
              <w:right w:type="dxa" w:w="110"/>
            </w:tcMar>
          </w:tcPr>
          <w:p>
            <w:pPr>
              <w:spacing w:after="0"/>
            </w:pPr>
            <w:r>
              <w:rPr>
                <w:sz w:val="17"/>
                <w:szCs w:val="17"/>
              </w:rPr>
              <w:t xml:space="preserve">jeton nominal accepté et adresse normalisée ; 15 jetons hostiles refusés, dont « alg: none », la confusion RS256/HS256, une signature d'une autre clé, une charge altérée après signature, un émetteur et un destinataire inattendus, des destinataires multiples sans partie autorisée, un jeton périmé, un nonce absent puis incorrect, et une adresse non vérifiée par l'annuaire ; configuration traitée comme absente si incomplète (4 variables éprouvées une à une) ou si l'émetteur n'est pas en HTTPS ; PKCE S256 dont le défi correspond à son vérifieur, state et nonce distincts et renouvelés à chaque demande ; 174 fichier(s) source relus, aucun module hors de la coque d'authentification ne dépend du SSO, la ré-authentification de signature vérifie toujours un secret LOCAL, et le retour d'annuaire ne crée aucune personne</w:t>
            </w:r>
          </w:p>
        </w:tc>
        <w:tc>
          <w:tcPr>
            <w:tcW w:type="pct" w:w="12%"/>
            <w:tcMar>
              <w:top w:type="dxa" w:w="80"/>
              <w:left w:type="dxa" w:w="110"/>
              <w:bottom w:type="dxa" w:w="80"/>
              <w:right w:type="dxa" w:w="110"/>
            </w:tcMar>
          </w:tcPr>
          <w:p>
            <w:pPr>
              <w:spacing w:after="40"/>
            </w:pPr>
            <w:r>
              <w:rPr>
                <w:b/>
                <w:bCs/>
                <w:color w:val="047857"/>
                <w:sz w:val="17"/>
                <w:szCs w:val="17"/>
              </w:rPr>
              <w:t xml:space="preserve">Conforme</w:t>
            </w:r>
          </w:p>
          <w:p>
            <w:pPr>
              <w:spacing w:after="0"/>
            </w:pPr>
            <w:r>
              <w:rPr>
                <w:color w:val="475569"/>
                <w:sz w:val="14"/>
                <w:szCs w:val="14"/>
              </w:rPr>
              <w:t xml:space="preserve">115 ms</w:t>
            </w:r>
          </w:p>
        </w:tc>
      </w:tr>
      <w:tr>
        <w:tc>
          <w:tcPr>
            <w:tcW w:type="pct" w:w="13%"/>
            <w:shd w:fill="F8FAFC"/>
            <w:tcMar>
              <w:top w:type="dxa" w:w="80"/>
              <w:left w:type="dxa" w:w="110"/>
              <w:bottom w:type="dxa" w:w="80"/>
              <w:right w:type="dxa" w:w="110"/>
            </w:tcMar>
          </w:tcPr>
          <w:p>
            <w:pPr>
              <w:spacing w:after="50"/>
            </w:pPr>
            <w:r>
              <w:rPr>
                <w:b/>
                <w:bCs/>
                <w:color w:val="4338CA"/>
                <w:sz w:val="17"/>
                <w:szCs w:val="17"/>
              </w:rPr>
              <w:t xml:space="preserve">OQ-42</w:t>
            </w:r>
          </w:p>
          <w:p>
            <w:pPr>
              <w:spacing w:after="0"/>
            </w:pPr>
            <w:r>
              <w:rPr>
                <w:color w:val="475569"/>
                <w:sz w:val="15"/>
                <w:szCs w:val="15"/>
              </w:rPr>
              <w:t xml:space="preserve">URS-45</w:t>
            </w:r>
          </w:p>
        </w:tc>
        <w:tc>
          <w:tcPr>
            <w:tcW w:type="pct" w:w="30%"/>
            <w:tcMar>
              <w:top w:type="dxa" w:w="80"/>
              <w:left w:type="dxa" w:w="110"/>
              <w:bottom w:type="dxa" w:w="80"/>
              <w:right w:type="dxa" w:w="110"/>
            </w:tcMar>
          </w:tcPr>
          <w:p>
            <w:pPr>
              <w:spacing w:after="50"/>
            </w:pPr>
            <w:r>
              <w:rPr>
                <w:b/>
                <w:bCs/>
                <w:sz w:val="17"/>
                <w:szCs w:val="17"/>
              </w:rPr>
              <w:t xml:space="preserve">Ce qui dépend du moteur de base est inventorié, et l'inventaire est relu sur la source</w:t>
            </w:r>
          </w:p>
          <w:p>
            <w:pPr>
              <w:spacing w:after="0"/>
            </w:pPr>
            <w:r>
              <w:rPr>
                <w:color w:val="475569"/>
                <w:sz w:val="15"/>
                <w:szCs w:val="15"/>
              </w:rPr>
              <w:t xml:space="preserve">Vérifier qu'aucun point dépendant du moteur de base n'existe hors de l'inventaire déclaré, que le détecteur trouve réellement les points qu'il prétend surveiller — au premier rang desquels la lecture-puis-écriture de la tête de chaîne d'audit et son miroir de console —, et que la propriété du moteur sur laquelle repose la recherche est bien celle qui est documentée : constater l'insensibilité à la casse plutôt que la supposer.</w:t>
            </w:r>
          </w:p>
        </w:tc>
        <w:tc>
          <w:tcPr>
            <w:tcW w:type="pct" w:w="45%"/>
            <w:tcMar>
              <w:top w:type="dxa" w:w="80"/>
              <w:left w:type="dxa" w:w="110"/>
              <w:bottom w:type="dxa" w:w="80"/>
              <w:right w:type="dxa" w:w="110"/>
            </w:tcMar>
          </w:tcPr>
          <w:p>
            <w:pPr>
              <w:spacing w:after="0"/>
            </w:pPr>
            <w:r>
              <w:rPr>
                <w:sz w:val="17"/>
                <w:szCs w:val="17"/>
              </w:rPr>
              <w:t xml:space="preserve">35 point(s) dépendant du moteur relevés sur la source et tous déclarés — 4 instruction(s) PRAGMA, 2 lecture(s)-puis-écriture de la tête de chaîne (le chaînage ET son miroir de console, ce second exemplaire ayant été trouvé par l'audit et non prévu), 27 recherche(s) par « contains », le fournisseur figé et la lignée de migrations ; l'insensibilité à la casse du moteur qualifié est CONSTATÉE et non supposée (1 = 1) ; le schéma annonce toujours « sqlite » et la note de portabilité dit que l'autre moteur n'est pas offert</w:t>
            </w:r>
          </w:p>
        </w:tc>
        <w:tc>
          <w:tcPr>
            <w:tcW w:type="pct" w:w="12%"/>
            <w:tcMar>
              <w:top w:type="dxa" w:w="80"/>
              <w:left w:type="dxa" w:w="110"/>
              <w:bottom w:type="dxa" w:w="80"/>
              <w:right w:type="dxa" w:w="110"/>
            </w:tcMar>
          </w:tcPr>
          <w:p>
            <w:pPr>
              <w:spacing w:after="40"/>
            </w:pPr>
            <w:r>
              <w:rPr>
                <w:b/>
                <w:bCs/>
                <w:color w:val="047857"/>
                <w:sz w:val="17"/>
                <w:szCs w:val="17"/>
              </w:rPr>
              <w:t xml:space="preserve">Conforme</w:t>
            </w:r>
          </w:p>
          <w:p>
            <w:pPr>
              <w:spacing w:after="0"/>
            </w:pPr>
            <w:r>
              <w:rPr>
                <w:color w:val="475569"/>
                <w:sz w:val="14"/>
                <w:szCs w:val="14"/>
              </w:rPr>
              <w:t xml:space="preserve">52 ms</w:t>
            </w:r>
          </w:p>
        </w:tc>
      </w:tr>
      <w:tr>
        <w:tc>
          <w:tcPr>
            <w:tcW w:type="pct" w:w="13%"/>
            <w:shd w:fill="F8FAFC"/>
            <w:tcMar>
              <w:top w:type="dxa" w:w="80"/>
              <w:left w:type="dxa" w:w="110"/>
              <w:bottom w:type="dxa" w:w="80"/>
              <w:right w:type="dxa" w:w="110"/>
            </w:tcMar>
          </w:tcPr>
          <w:p>
            <w:pPr>
              <w:spacing w:after="50"/>
            </w:pPr>
            <w:r>
              <w:rPr>
                <w:b/>
                <w:bCs/>
                <w:color w:val="4338CA"/>
                <w:sz w:val="17"/>
                <w:szCs w:val="17"/>
              </w:rPr>
              <w:t xml:space="preserve">OQ-43</w:t>
            </w:r>
          </w:p>
          <w:p>
            <w:pPr>
              <w:spacing w:after="0"/>
            </w:pPr>
            <w:r>
              <w:rPr>
                <w:color w:val="475569"/>
                <w:sz w:val="15"/>
                <w:szCs w:val="15"/>
              </w:rPr>
              <w:t xml:space="preserve">URS-46</w:t>
            </w:r>
          </w:p>
        </w:tc>
        <w:tc>
          <w:tcPr>
            <w:tcW w:type="pct" w:w="30%"/>
            <w:tcMar>
              <w:top w:type="dxa" w:w="80"/>
              <w:left w:type="dxa" w:w="110"/>
              <w:bottom w:type="dxa" w:w="80"/>
              <w:right w:type="dxa" w:w="110"/>
            </w:tcMar>
          </w:tcPr>
          <w:p>
            <w:pPr>
              <w:spacing w:after="50"/>
            </w:pPr>
            <w:r>
              <w:rPr>
                <w:b/>
                <w:bCs/>
                <w:sz w:val="17"/>
                <w:szCs w:val="17"/>
              </w:rPr>
              <w:t xml:space="preserve">API en lecture seule : aucune écriture dans le graphe, jeton conservé par son empreinte, réponse refaisable</w:t>
            </w:r>
          </w:p>
          <w:p>
            <w:pPr>
              <w:spacing w:after="0"/>
            </w:pPr>
            <w:r>
              <w:rPr>
                <w:color w:val="475569"/>
                <w:sz w:val="15"/>
                <w:szCs w:val="15"/>
              </w:rPr>
              <w:t xml:space="preserve">Vérifier en relisant la source qu'aucune route de l'API n'écrit dans le graphe de conception et que toutes passent par la garde unique ; qu'un jeton est refusé absent, mal formé, inconnu puis révoqué, sans que la réponse distingue ces cas ; qu'il n'est conservé que par son empreinte ; et qu'une réponse permet à son destinataire de REFAIRE l'empreinte annoncée en appliquant à la lettre la règle écrite dans la réponse.</w:t>
            </w:r>
          </w:p>
        </w:tc>
        <w:tc>
          <w:tcPr>
            <w:tcW w:type="pct" w:w="45%"/>
            <w:tcMar>
              <w:top w:type="dxa" w:w="80"/>
              <w:left w:type="dxa" w:w="110"/>
              <w:bottom w:type="dxa" w:w="80"/>
              <w:right w:type="dxa" w:w="110"/>
            </w:tcMar>
          </w:tcPr>
          <w:p>
            <w:pPr>
              <w:spacing w:after="0"/>
            </w:pPr>
            <w:r>
              <w:rPr>
                <w:sz w:val="17"/>
                <w:szCs w:val="17"/>
              </w:rPr>
              <w:t xml:space="preserve">4 route(s) d'API relues : aucune n'écrit en base et toutes passent par la garde unique ; le module de jetons n'écrit que sur les jetons eux-mêmes (émission et date de dernier usage) ; un jeton est refusé absent, vide, sans schéma Bearer, mal formé, sans préfixe, inconnu, puis révoqué — et le refus ne distingue aucun de ces cas ; le jeton n'est conservé que par son empreinte SHA-256, sa valeur en clair n'existe nulle part en base ; l'empreinte annoncée d'une réponse se REFAIT en appliquant à la lettre la règle écrite dans cette réponse, échappements compris ; et son ancrage désigne bien la tête de chaîne d'audit à l'instant de l'extraction (rang 85). 3 ressources publiées.</w:t>
            </w:r>
          </w:p>
        </w:tc>
        <w:tc>
          <w:tcPr>
            <w:tcW w:type="pct" w:w="12%"/>
            <w:tcMar>
              <w:top w:type="dxa" w:w="80"/>
              <w:left w:type="dxa" w:w="110"/>
              <w:bottom w:type="dxa" w:w="80"/>
              <w:right w:type="dxa" w:w="110"/>
            </w:tcMar>
          </w:tcPr>
          <w:p>
            <w:pPr>
              <w:spacing w:after="40"/>
            </w:pPr>
            <w:r>
              <w:rPr>
                <w:b/>
                <w:bCs/>
                <w:color w:val="047857"/>
                <w:sz w:val="17"/>
                <w:szCs w:val="17"/>
              </w:rPr>
              <w:t xml:space="preserve">Conforme</w:t>
            </w:r>
          </w:p>
          <w:p>
            <w:pPr>
              <w:spacing w:after="0"/>
            </w:pPr>
            <w:r>
              <w:rPr>
                <w:color w:val="475569"/>
                <w:sz w:val="14"/>
                <w:szCs w:val="14"/>
              </w:rPr>
              <w:t xml:space="preserve">24 ms</w:t>
            </w:r>
          </w:p>
        </w:tc>
      </w:tr>
      <w:tr>
        <w:tc>
          <w:tcPr>
            <w:tcW w:type="pct" w:w="13%"/>
            <w:shd w:fill="F8FAFC"/>
            <w:tcMar>
              <w:top w:type="dxa" w:w="80"/>
              <w:left w:type="dxa" w:w="110"/>
              <w:bottom w:type="dxa" w:w="80"/>
              <w:right w:type="dxa" w:w="110"/>
            </w:tcMar>
          </w:tcPr>
          <w:p>
            <w:pPr>
              <w:spacing w:after="50"/>
            </w:pPr>
            <w:r>
              <w:rPr>
                <w:b/>
                <w:bCs/>
                <w:color w:val="4338CA"/>
                <w:sz w:val="17"/>
                <w:szCs w:val="17"/>
              </w:rPr>
              <w:t xml:space="preserve">OQ-44</w:t>
            </w:r>
          </w:p>
          <w:p>
            <w:pPr>
              <w:spacing w:after="0"/>
            </w:pPr>
            <w:r>
              <w:rPr>
                <w:color w:val="475569"/>
                <w:sz w:val="15"/>
                <w:szCs w:val="15"/>
              </w:rPr>
              <w:t xml:space="preserve">URS-47</w:t>
            </w:r>
          </w:p>
        </w:tc>
        <w:tc>
          <w:tcPr>
            <w:tcW w:type="pct" w:w="30%"/>
            <w:tcMar>
              <w:top w:type="dxa" w:w="80"/>
              <w:left w:type="dxa" w:w="110"/>
              <w:bottom w:type="dxa" w:w="80"/>
              <w:right w:type="dxa" w:w="110"/>
            </w:tcMar>
          </w:tcPr>
          <w:p>
            <w:pPr>
              <w:spacing w:after="50"/>
            </w:pPr>
            <w:r>
              <w:rPr>
                <w:b/>
                <w:bCs/>
                <w:sz w:val="17"/>
                <w:szCs w:val="17"/>
              </w:rPr>
              <w:t xml:space="preserve">Conformité PDF/A prononcée par l'implémentation de référence, témoin à l'appui</w:t>
            </w:r>
          </w:p>
          <w:p>
            <w:pPr>
              <w:spacing w:after="0"/>
            </w:pPr>
            <w:r>
              <w:rPr>
                <w:color w:val="475569"/>
                <w:sz w:val="15"/>
                <w:szCs w:val="15"/>
              </w:rPr>
              <w:t xml:space="preserve">Soumettre à veraPDF — l'implémentation de référence, extérieure à ce projet — un document bâti pour la mettre en défaut, et EXIGER d'abord qu'elle rejette un fichier délibérément non conforme. Un validateur qui ne sait plus dire « non » rendrait un vert permanent ; le témoin est donc contrôlé avant tout le reste, et son succès invaliderait l'exécution entière.</w:t>
            </w:r>
          </w:p>
        </w:tc>
        <w:tc>
          <w:tcPr>
            <w:tcW w:type="pct" w:w="45%"/>
            <w:tcMar>
              <w:top w:type="dxa" w:w="80"/>
              <w:left w:type="dxa" w:w="110"/>
              <w:bottom w:type="dxa" w:w="80"/>
              <w:right w:type="dxa" w:w="110"/>
            </w:tcMar>
          </w:tcPr>
          <w:p>
            <w:pPr>
              <w:spacing w:after="0"/>
            </w:pPr>
            <w:r>
              <w:rPr>
                <w:sz w:val="17"/>
                <w:szCs w:val="17"/>
              </w:rPr>
              <w:t xml:space="preserve">veraPDF 1.30.2 a rendu deux verdicts sur des fichiers produits pendant ce cas. Le témoin — police non embarquée, sans intention de sortie ni métadonnées XMP, écrit octet par octet sans passer par les modules de Filum — est REJETÉ sur 5 règle(s) : la mesure discrimine. Le document de torture, qui rassemble 7 familles de caractères (chimie, grec, mathématiques, fractions, unités, idéogrammes, emoji, diacritiques) et a exercé 2 substitution(s) de glyphes absents, est déclaré CONFORME au profil PDF/A-2b. Le contrôle structurel interne rend le même verdict sur le même fichier, et confirme zéro renvoi au glyphe .notdef.</w:t>
            </w:r>
          </w:p>
        </w:tc>
        <w:tc>
          <w:tcPr>
            <w:tcW w:type="pct" w:w="12%"/>
            <w:tcMar>
              <w:top w:type="dxa" w:w="80"/>
              <w:left w:type="dxa" w:w="110"/>
              <w:bottom w:type="dxa" w:w="80"/>
              <w:right w:type="dxa" w:w="110"/>
            </w:tcMar>
          </w:tcPr>
          <w:p>
            <w:pPr>
              <w:spacing w:after="40"/>
            </w:pPr>
            <w:r>
              <w:rPr>
                <w:b/>
                <w:bCs/>
                <w:color w:val="047857"/>
                <w:sz w:val="17"/>
                <w:szCs w:val="17"/>
              </w:rPr>
              <w:t xml:space="preserve">Conforme</w:t>
            </w:r>
          </w:p>
          <w:p>
            <w:pPr>
              <w:spacing w:after="0"/>
            </w:pPr>
            <w:r>
              <w:rPr>
                <w:color w:val="475569"/>
                <w:sz w:val="14"/>
                <w:szCs w:val="14"/>
              </w:rPr>
              <w:t xml:space="preserve">4979 ms</w:t>
            </w:r>
          </w:p>
        </w:tc>
      </w:tr>
      <w:tr>
        <w:tc>
          <w:tcPr>
            <w:tcW w:type="pct" w:w="13%"/>
            <w:shd w:fill="F8FAFC"/>
            <w:tcMar>
              <w:top w:type="dxa" w:w="80"/>
              <w:left w:type="dxa" w:w="110"/>
              <w:bottom w:type="dxa" w:w="80"/>
              <w:right w:type="dxa" w:w="110"/>
            </w:tcMar>
          </w:tcPr>
          <w:p>
            <w:pPr>
              <w:spacing w:after="50"/>
            </w:pPr>
            <w:r>
              <w:rPr>
                <w:b/>
                <w:bCs/>
                <w:color w:val="4338CA"/>
                <w:sz w:val="17"/>
                <w:szCs w:val="17"/>
              </w:rPr>
              <w:t xml:space="preserve">OQ-45</w:t>
            </w:r>
          </w:p>
          <w:p>
            <w:pPr>
              <w:spacing w:after="0"/>
            </w:pPr>
            <w:r>
              <w:rPr>
                <w:color w:val="475569"/>
                <w:sz w:val="15"/>
                <w:szCs w:val="15"/>
              </w:rPr>
              <w:t xml:space="preserve">URS-48</w:t>
            </w:r>
          </w:p>
        </w:tc>
        <w:tc>
          <w:tcPr>
            <w:tcW w:type="pct" w:w="30%"/>
            <w:tcMar>
              <w:top w:type="dxa" w:w="80"/>
              <w:left w:type="dxa" w:w="110"/>
              <w:bottom w:type="dxa" w:w="80"/>
              <w:right w:type="dxa" w:w="110"/>
            </w:tcMar>
          </w:tcPr>
          <w:p>
            <w:pPr>
              <w:spacing w:after="50"/>
            </w:pPr>
            <w:r>
              <w:rPr>
                <w:b/>
                <w:bCs/>
                <w:sz w:val="17"/>
                <w:szCs w:val="17"/>
              </w:rPr>
              <w:t xml:space="preserve">Revue périodique : échéance calculée, conclusion consignée, retard inscrit avant d'être effacé</w:t>
            </w:r>
          </w:p>
          <w:p>
            <w:pPr>
              <w:spacing w:after="0"/>
            </w:pPr>
            <w:r>
              <w:rPr>
                <w:color w:val="475569"/>
                <w:sz w:val="15"/>
                <w:szCs w:val="15"/>
              </w:rPr>
              <w:t xml:space="preserve">Éprouver le calcul d'échéance là où il se trompe le plus volontiers — les fins de mois —, vérifier qu'une revue consigne QUI a conclu QUOI, que le retard sur l'échéance précédente entre dans la piste AVANT d'être remplacé, et surtout qu'un document sans périodicité déclarée reste totalement muet.</w:t>
            </w:r>
          </w:p>
        </w:tc>
        <w:tc>
          <w:tcPr>
            <w:tcW w:type="pct" w:w="45%"/>
            <w:tcMar>
              <w:top w:type="dxa" w:w="80"/>
              <w:left w:type="dxa" w:w="110"/>
              <w:bottom w:type="dxa" w:w="80"/>
              <w:right w:type="dxa" w:w="110"/>
            </w:tcMar>
          </w:tcPr>
          <w:p>
            <w:pPr>
              <w:spacing w:after="0"/>
            </w:pPr>
            <w:r>
              <w:rPr>
                <w:sz w:val="17"/>
                <w:szCs w:val="17"/>
              </w:rPr>
              <w:t xml:space="preserve">Le calcul d'échéance est éprouvé sur 6 cas dont quatre fins de mois : le 31 janvier + 1 mois rend le 28 février, et le 29 en année bissextile — un débordement de calendrier aurait glissé l'échéance de deux ou trois jours sans que rien ne le signale. Une procédure publiée reçoit son entrée en vigueur et son échéance ; un rapport d'essai publié dans les mêmes conditions n'en reçoit AUCUNE. Une revue tenue 92 jours après l'échéance consigne sa conclusion, son auteur, et inscrit LE RETARD dans la piste avant que l'échéance ne soit remplacée. L'échéance stockée de chaque document à périodicité est RECALCULÉE depuis sa source et confrontée. Sont refusées : la revue d'un brouillon, celle d'un document sans périodicité, et une conclusion hors des deux admises. Les bornes rejettent 0, 121 et une valeur non entière.</w:t>
            </w:r>
          </w:p>
        </w:tc>
        <w:tc>
          <w:tcPr>
            <w:tcW w:type="pct" w:w="12%"/>
            <w:tcMar>
              <w:top w:type="dxa" w:w="80"/>
              <w:left w:type="dxa" w:w="110"/>
              <w:bottom w:type="dxa" w:w="80"/>
              <w:right w:type="dxa" w:w="110"/>
            </w:tcMar>
          </w:tcPr>
          <w:p>
            <w:pPr>
              <w:spacing w:after="40"/>
            </w:pPr>
            <w:r>
              <w:rPr>
                <w:b/>
                <w:bCs/>
                <w:color w:val="047857"/>
                <w:sz w:val="17"/>
                <w:szCs w:val="17"/>
              </w:rPr>
              <w:t xml:space="preserve">Conforme</w:t>
            </w:r>
          </w:p>
          <w:p>
            <w:pPr>
              <w:spacing w:after="0"/>
            </w:pPr>
            <w:r>
              <w:rPr>
                <w:color w:val="475569"/>
                <w:sz w:val="14"/>
                <w:szCs w:val="14"/>
              </w:rPr>
              <w:t xml:space="preserve">240 ms</w:t>
            </w:r>
          </w:p>
        </w:tc>
      </w:tr>
      <w:tr>
        <w:tc>
          <w:tcPr>
            <w:tcW w:type="pct" w:w="13%"/>
            <w:shd w:fill="F8FAFC"/>
            <w:tcMar>
              <w:top w:type="dxa" w:w="80"/>
              <w:left w:type="dxa" w:w="110"/>
              <w:bottom w:type="dxa" w:w="80"/>
              <w:right w:type="dxa" w:w="110"/>
            </w:tcMar>
          </w:tcPr>
          <w:p>
            <w:pPr>
              <w:spacing w:after="50"/>
            </w:pPr>
            <w:r>
              <w:rPr>
                <w:b/>
                <w:bCs/>
                <w:color w:val="4338CA"/>
                <w:sz w:val="17"/>
                <w:szCs w:val="17"/>
              </w:rPr>
              <w:t xml:space="preserve">OQ-46</w:t>
            </w:r>
          </w:p>
          <w:p>
            <w:pPr>
              <w:spacing w:after="0"/>
            </w:pPr>
            <w:r>
              <w:rPr>
                <w:color w:val="475569"/>
                <w:sz w:val="15"/>
                <w:szCs w:val="15"/>
              </w:rPr>
              <w:t xml:space="preserve">URS-49</w:t>
            </w:r>
          </w:p>
        </w:tc>
        <w:tc>
          <w:tcPr>
            <w:tcW w:type="pct" w:w="30%"/>
            <w:tcMar>
              <w:top w:type="dxa" w:w="80"/>
              <w:left w:type="dxa" w:w="110"/>
              <w:bottom w:type="dxa" w:w="80"/>
              <w:right w:type="dxa" w:w="110"/>
            </w:tcMar>
          </w:tcPr>
          <w:p>
            <w:pPr>
              <w:spacing w:after="50"/>
            </w:pPr>
            <w:r>
              <w:rPr>
                <w:b/>
                <w:bCs/>
                <w:sz w:val="17"/>
                <w:szCs w:val="17"/>
              </w:rPr>
              <w:t xml:space="preserve">Diffusion contrôlée : on n'accuse que pour soi, et une lecture ne survit pas à une révision</w:t>
            </w:r>
          </w:p>
          <w:p>
            <w:pPr>
              <w:spacing w:after="0"/>
            </w:pPr>
            <w:r>
              <w:rPr>
                <w:color w:val="475569"/>
                <w:sz w:val="15"/>
                <w:szCs w:val="15"/>
              </w:rPr>
              <w:t xml:space="preserve">Éprouver les deux règles dont tout dépend — nul n'accuse à la place d'un autre, et publier une révision remet chacun en attente sans effacer ce qui avait été lu de la précédente — puis vérifier que l'état de diffusion ne se laisse pas bloquer par une personne désactivée.</w:t>
            </w:r>
          </w:p>
        </w:tc>
        <w:tc>
          <w:tcPr>
            <w:tcW w:type="pct" w:w="45%"/>
            <w:tcMar>
              <w:top w:type="dxa" w:w="80"/>
              <w:left w:type="dxa" w:w="110"/>
              <w:bottom w:type="dxa" w:w="80"/>
              <w:right w:type="dxa" w:w="110"/>
            </w:tcMar>
          </w:tcPr>
          <w:p>
            <w:pPr>
              <w:spacing w:after="0"/>
            </w:pPr>
            <w:r>
              <w:rPr>
                <w:sz w:val="17"/>
                <w:szCs w:val="17"/>
              </w:rPr>
              <w:t xml:space="preserve">Trois destinataires posés sur une procédure. Un accusé de lecture est REFUSÉ sur un brouillon — attester d'un texte qui peut encore changer ne prouve rien sur ce qui sera appliqué. Après publication, la fonction n'accepte un accusé que pour la personne qu'on lui nomme, et la SOURCE de l'action serveur est relue pour établir qu'elle n'accepte aucun identifiant venu d'un formulaire : seule l'identité de la session agit. Un second accusé pour la même personne et la même révision est refusé. Un destinataire désactivé est compté à part — la révision peut être déclarée lue sans lui, sans qu'il soit pour autant réputé l'avoir lue. Enfin, ouvrir une révision dépasse les trois lignes en CONSERVANT leurs accusés, en crée trois neuves pour les mêmes destinataires, toutes en attente : une version que personne n'a ouverte ne peut pas passer pour lue. La piste nomme qui a lu quoi, dans les deux langues.</w:t>
            </w:r>
          </w:p>
        </w:tc>
        <w:tc>
          <w:tcPr>
            <w:tcW w:type="pct" w:w="12%"/>
            <w:tcMar>
              <w:top w:type="dxa" w:w="80"/>
              <w:left w:type="dxa" w:w="110"/>
              <w:bottom w:type="dxa" w:w="80"/>
              <w:right w:type="dxa" w:w="110"/>
            </w:tcMar>
          </w:tcPr>
          <w:p>
            <w:pPr>
              <w:spacing w:after="40"/>
            </w:pPr>
            <w:r>
              <w:rPr>
                <w:b/>
                <w:bCs/>
                <w:color w:val="047857"/>
                <w:sz w:val="17"/>
                <w:szCs w:val="17"/>
              </w:rPr>
              <w:t xml:space="preserve">Conforme</w:t>
            </w:r>
          </w:p>
          <w:p>
            <w:pPr>
              <w:spacing w:after="0"/>
            </w:pPr>
            <w:r>
              <w:rPr>
                <w:color w:val="475569"/>
                <w:sz w:val="14"/>
                <w:szCs w:val="14"/>
              </w:rPr>
              <w:t xml:space="preserve">314 ms</w:t>
            </w:r>
          </w:p>
        </w:tc>
      </w:tr>
    </w:tbl>
    <w:p>
      <w:pPr>
        <w:pStyle w:val="Heading1"/>
        <w:spacing w:after="140" w:before="320"/>
      </w:pPr>
      <w:r>
        <w:t xml:space="preserve">6. Matrice de traçabilité</w:t>
      </w:r>
    </w:p>
    <w:p>
      <w:pPr>
        <w:spacing w:after="140"/>
      </w:pPr>
      <w:r>
        <w:rPr>
          <w:sz w:val="20"/>
          <w:szCs w:val="20"/>
        </w:rPr>
        <w:t xml:space="preserve">Chaque exigence est reliée au cas qui la vérifie, ou porte la mention du report en qualification de performance. Une exigence sans cas ni report serait une exigence non vérifiée : il n'y en a aucune.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2%"/>
            <w:shd w:fill="E0E7FF"/>
            <w:tcMar>
              <w:top w:type="dxa" w:w="80"/>
              <w:left w:type="dxa" w:w="110"/>
              <w:bottom w:type="dxa" w:w="80"/>
              <w:right w:type="dxa" w:w="110"/>
            </w:tcMar>
          </w:tcPr>
          <w:p>
            <w:pPr>
              <w:spacing w:after="0"/>
            </w:pPr>
            <w:r>
              <w:rPr>
                <w:b/>
                <w:bCs/>
                <w:sz w:val="17"/>
                <w:szCs w:val="17"/>
              </w:rPr>
              <w:t xml:space="preserve">Exigence</w:t>
            </w:r>
          </w:p>
        </w:tc>
        <w:tc>
          <w:tcPr>
            <w:tcW w:type="pct" w:w="22%"/>
            <w:shd w:fill="E0E7FF"/>
            <w:tcMar>
              <w:top w:type="dxa" w:w="80"/>
              <w:left w:type="dxa" w:w="110"/>
              <w:bottom w:type="dxa" w:w="80"/>
              <w:right w:type="dxa" w:w="110"/>
            </w:tcMar>
          </w:tcPr>
          <w:p>
            <w:pPr>
              <w:spacing w:after="0"/>
            </w:pPr>
            <w:r>
              <w:rPr>
                <w:b/>
                <w:bCs/>
                <w:sz w:val="17"/>
                <w:szCs w:val="17"/>
              </w:rPr>
              <w:t xml:space="preserve">Vérifiée par</w:t>
            </w:r>
          </w:p>
        </w:tc>
        <w:tc>
          <w:tcPr>
            <w:tcW w:type="pct" w:w="66%"/>
            <w:shd w:fill="E0E7FF"/>
            <w:tcMar>
              <w:top w:type="dxa" w:w="80"/>
              <w:left w:type="dxa" w:w="110"/>
              <w:bottom w:type="dxa" w:w="80"/>
              <w:right w:type="dxa" w:w="110"/>
            </w:tcMar>
          </w:tcPr>
          <w:p>
            <w:pPr>
              <w:spacing w:after="0"/>
            </w:pPr>
            <w:r>
              <w:rPr>
                <w:b/>
                <w:bCs/>
                <w:sz w:val="17"/>
                <w:szCs w:val="17"/>
              </w:rPr>
              <w:t xml:space="preserve">Nature de la preuve</w:t>
            </w:r>
          </w:p>
        </w:tc>
      </w:tr>
      <w:tr>
        <w:tc>
          <w:tcPr>
            <w:tcW w:type="pct" w:w="12%"/>
            <w:tcMar>
              <w:top w:type="dxa" w:w="80"/>
              <w:left w:type="dxa" w:w="110"/>
              <w:bottom w:type="dxa" w:w="80"/>
              <w:right w:type="dxa" w:w="110"/>
            </w:tcMar>
          </w:tcPr>
          <w:p>
            <w:pPr>
              <w:spacing w:after="0"/>
            </w:pPr>
            <w:r>
              <w:rPr>
                <w:b/>
                <w:bCs/>
                <w:color w:val="4338CA"/>
                <w:sz w:val="17"/>
                <w:szCs w:val="17"/>
              </w:rPr>
              <w:t xml:space="preserve">URS-01</w:t>
            </w:r>
          </w:p>
        </w:tc>
        <w:tc>
          <w:tcPr>
            <w:tcW w:type="pct" w:w="22%"/>
            <w:tcMar>
              <w:top w:type="dxa" w:w="80"/>
              <w:left w:type="dxa" w:w="110"/>
              <w:bottom w:type="dxa" w:w="80"/>
              <w:right w:type="dxa" w:w="110"/>
            </w:tcMar>
          </w:tcPr>
          <w:p>
            <w:pPr>
              <w:spacing w:after="0"/>
            </w:pPr>
            <w:r>
              <w:rPr>
                <w:b/>
                <w:bCs/>
                <w:color w:val="B45309"/>
                <w:sz w:val="17"/>
                <w:szCs w:val="17"/>
              </w:rPr>
              <w:t xml:space="preserve">Qualification de performance</w:t>
            </w:r>
          </w:p>
        </w:tc>
        <w:tc>
          <w:tcPr>
            <w:tcW w:type="pct" w:w="66%"/>
            <w:tcMar>
              <w:top w:type="dxa" w:w="80"/>
              <w:left w:type="dxa" w:w="110"/>
              <w:bottom w:type="dxa" w:w="80"/>
              <w:right w:type="dxa" w:w="110"/>
            </w:tcMar>
          </w:tcPr>
          <w:p>
            <w:pPr>
              <w:spacing w:after="0"/>
            </w:pPr>
            <w:r>
              <w:rPr>
                <w:sz w:val="17"/>
                <w:szCs w:val="17"/>
              </w:rPr>
              <w:t xml:space="preserve">À exécuter chez vous : Depuis une fenêtre de navigation privée, appeler une page et une route d'export sans se connecter : les deux doivent refuser.</w:t>
            </w:r>
          </w:p>
        </w:tc>
      </w:tr>
      <w:tr>
        <w:tc>
          <w:tcPr>
            <w:tcW w:type="pct" w:w="12%"/>
            <w:tcMar>
              <w:top w:type="dxa" w:w="80"/>
              <w:left w:type="dxa" w:w="110"/>
              <w:bottom w:type="dxa" w:w="80"/>
              <w:right w:type="dxa" w:w="110"/>
            </w:tcMar>
          </w:tcPr>
          <w:p>
            <w:pPr>
              <w:spacing w:after="0"/>
            </w:pPr>
            <w:r>
              <w:rPr>
                <w:b/>
                <w:bCs/>
                <w:color w:val="4338CA"/>
                <w:sz w:val="17"/>
                <w:szCs w:val="17"/>
              </w:rPr>
              <w:t xml:space="preserve">URS-02</w:t>
            </w:r>
          </w:p>
        </w:tc>
        <w:tc>
          <w:tcPr>
            <w:tcW w:type="pct" w:w="22%"/>
            <w:tcMar>
              <w:top w:type="dxa" w:w="80"/>
              <w:left w:type="dxa" w:w="110"/>
              <w:bottom w:type="dxa" w:w="80"/>
              <w:right w:type="dxa" w:w="110"/>
            </w:tcMar>
          </w:tcPr>
          <w:p>
            <w:pPr>
              <w:spacing w:after="0"/>
            </w:pPr>
            <w:r>
              <w:rPr>
                <w:b/>
                <w:bCs/>
                <w:color w:val="047857"/>
                <w:sz w:val="17"/>
                <w:szCs w:val="17"/>
              </w:rPr>
              <w:t xml:space="preserve">OQ-01</w:t>
            </w:r>
          </w:p>
        </w:tc>
        <w:tc>
          <w:tcPr>
            <w:tcW w:type="pct" w:w="66%"/>
            <w:tcMar>
              <w:top w:type="dxa" w:w="80"/>
              <w:left w:type="dxa" w:w="110"/>
              <w:bottom w:type="dxa" w:w="80"/>
              <w:right w:type="dxa" w:w="110"/>
            </w:tcMar>
          </w:tcPr>
          <w:p>
            <w:pPr>
              <w:spacing w:after="0"/>
            </w:pPr>
            <w:r>
              <w:rPr>
                <w:sz w:val="17"/>
                <w:szCs w:val="17"/>
              </w:rPr>
              <w:t xml:space="preserve">Cas de test automatisé exécuté par l'éditeur à chaque version, résultat en section 5.1.</w:t>
            </w:r>
          </w:p>
        </w:tc>
      </w:tr>
      <w:tr>
        <w:tc>
          <w:tcPr>
            <w:tcW w:type="pct" w:w="12%"/>
            <w:tcMar>
              <w:top w:type="dxa" w:w="80"/>
              <w:left w:type="dxa" w:w="110"/>
              <w:bottom w:type="dxa" w:w="80"/>
              <w:right w:type="dxa" w:w="110"/>
            </w:tcMar>
          </w:tcPr>
          <w:p>
            <w:pPr>
              <w:spacing w:after="0"/>
            </w:pPr>
            <w:r>
              <w:rPr>
                <w:b/>
                <w:bCs/>
                <w:color w:val="4338CA"/>
                <w:sz w:val="17"/>
                <w:szCs w:val="17"/>
              </w:rPr>
              <w:t xml:space="preserve">URS-03</w:t>
            </w:r>
          </w:p>
        </w:tc>
        <w:tc>
          <w:tcPr>
            <w:tcW w:type="pct" w:w="22%"/>
            <w:tcMar>
              <w:top w:type="dxa" w:w="80"/>
              <w:left w:type="dxa" w:w="110"/>
              <w:bottom w:type="dxa" w:w="80"/>
              <w:right w:type="dxa" w:w="110"/>
            </w:tcMar>
          </w:tcPr>
          <w:p>
            <w:pPr>
              <w:spacing w:after="0"/>
            </w:pPr>
            <w:r>
              <w:rPr>
                <w:b/>
                <w:bCs/>
                <w:color w:val="047857"/>
                <w:sz w:val="17"/>
                <w:szCs w:val="17"/>
              </w:rPr>
              <w:t xml:space="preserve">OQ-11</w:t>
            </w:r>
          </w:p>
        </w:tc>
        <w:tc>
          <w:tcPr>
            <w:tcW w:type="pct" w:w="66%"/>
            <w:tcMar>
              <w:top w:type="dxa" w:w="80"/>
              <w:left w:type="dxa" w:w="110"/>
              <w:bottom w:type="dxa" w:w="80"/>
              <w:right w:type="dxa" w:w="110"/>
            </w:tcMar>
          </w:tcPr>
          <w:p>
            <w:pPr>
              <w:spacing w:after="0"/>
            </w:pPr>
            <w:r>
              <w:rPr>
                <w:sz w:val="17"/>
                <w:szCs w:val="17"/>
              </w:rPr>
              <w:t xml:space="preserve">Cas de test automatisé exécuté par l'éditeur à chaque version, résultat en section 5.1.</w:t>
            </w:r>
          </w:p>
        </w:tc>
      </w:tr>
      <w:tr>
        <w:tc>
          <w:tcPr>
            <w:tcW w:type="pct" w:w="12%"/>
            <w:tcMar>
              <w:top w:type="dxa" w:w="80"/>
              <w:left w:type="dxa" w:w="110"/>
              <w:bottom w:type="dxa" w:w="80"/>
              <w:right w:type="dxa" w:w="110"/>
            </w:tcMar>
          </w:tcPr>
          <w:p>
            <w:pPr>
              <w:spacing w:after="0"/>
            </w:pPr>
            <w:r>
              <w:rPr>
                <w:b/>
                <w:bCs/>
                <w:color w:val="4338CA"/>
                <w:sz w:val="17"/>
                <w:szCs w:val="17"/>
              </w:rPr>
              <w:t xml:space="preserve">URS-04</w:t>
            </w:r>
          </w:p>
        </w:tc>
        <w:tc>
          <w:tcPr>
            <w:tcW w:type="pct" w:w="22%"/>
            <w:tcMar>
              <w:top w:type="dxa" w:w="80"/>
              <w:left w:type="dxa" w:w="110"/>
              <w:bottom w:type="dxa" w:w="80"/>
              <w:right w:type="dxa" w:w="110"/>
            </w:tcMar>
          </w:tcPr>
          <w:p>
            <w:pPr>
              <w:spacing w:after="0"/>
            </w:pPr>
            <w:r>
              <w:rPr>
                <w:b/>
                <w:bCs/>
                <w:color w:val="047857"/>
                <w:sz w:val="17"/>
                <w:szCs w:val="17"/>
              </w:rPr>
              <w:t xml:space="preserve">OQ-12</w:t>
            </w:r>
          </w:p>
        </w:tc>
        <w:tc>
          <w:tcPr>
            <w:tcW w:type="pct" w:w="66%"/>
            <w:tcMar>
              <w:top w:type="dxa" w:w="80"/>
              <w:left w:type="dxa" w:w="110"/>
              <w:bottom w:type="dxa" w:w="80"/>
              <w:right w:type="dxa" w:w="110"/>
            </w:tcMar>
          </w:tcPr>
          <w:p>
            <w:pPr>
              <w:spacing w:after="0"/>
            </w:pPr>
            <w:r>
              <w:rPr>
                <w:sz w:val="17"/>
                <w:szCs w:val="17"/>
              </w:rPr>
              <w:t xml:space="preserve">Cas de test automatisé exécuté par l'éditeur à chaque version, résultat en section 5.1.</w:t>
            </w:r>
          </w:p>
        </w:tc>
      </w:tr>
      <w:tr>
        <w:tc>
          <w:tcPr>
            <w:tcW w:type="pct" w:w="12%"/>
            <w:tcMar>
              <w:top w:type="dxa" w:w="80"/>
              <w:left w:type="dxa" w:w="110"/>
              <w:bottom w:type="dxa" w:w="80"/>
              <w:right w:type="dxa" w:w="110"/>
            </w:tcMar>
          </w:tcPr>
          <w:p>
            <w:pPr>
              <w:spacing w:after="0"/>
            </w:pPr>
            <w:r>
              <w:rPr>
                <w:b/>
                <w:bCs/>
                <w:color w:val="4338CA"/>
                <w:sz w:val="17"/>
                <w:szCs w:val="17"/>
              </w:rPr>
              <w:t xml:space="preserve">URS-05</w:t>
            </w:r>
          </w:p>
        </w:tc>
        <w:tc>
          <w:tcPr>
            <w:tcW w:type="pct" w:w="22%"/>
            <w:tcMar>
              <w:top w:type="dxa" w:w="80"/>
              <w:left w:type="dxa" w:w="110"/>
              <w:bottom w:type="dxa" w:w="80"/>
              <w:right w:type="dxa" w:w="110"/>
            </w:tcMar>
          </w:tcPr>
          <w:p>
            <w:pPr>
              <w:spacing w:after="0"/>
            </w:pPr>
            <w:r>
              <w:rPr>
                <w:b/>
                <w:bCs/>
                <w:color w:val="B45309"/>
                <w:sz w:val="17"/>
                <w:szCs w:val="17"/>
              </w:rPr>
              <w:t xml:space="preserve">Qualification de performance</w:t>
            </w:r>
          </w:p>
        </w:tc>
        <w:tc>
          <w:tcPr>
            <w:tcW w:type="pct" w:w="66%"/>
            <w:tcMar>
              <w:top w:type="dxa" w:w="80"/>
              <w:left w:type="dxa" w:w="110"/>
              <w:bottom w:type="dxa" w:w="80"/>
              <w:right w:type="dxa" w:w="110"/>
            </w:tcMar>
          </w:tcPr>
          <w:p>
            <w:pPr>
              <w:spacing w:after="0"/>
            </w:pPr>
            <w:r>
              <w:rPr>
                <w:sz w:val="17"/>
                <w:szCs w:val="17"/>
              </w:rPr>
              <w:t xml:space="preserve">À exécuter chez vous : Ouvrir le panneau de signature d'un document en revue : le champ mot de passe est obligatoire. Saisir un mot de passe faux : la signature est refusée et l'échec journalisé.</w:t>
            </w:r>
          </w:p>
        </w:tc>
      </w:tr>
      <w:tr>
        <w:tc>
          <w:tcPr>
            <w:tcW w:type="pct" w:w="12%"/>
            <w:tcMar>
              <w:top w:type="dxa" w:w="80"/>
              <w:left w:type="dxa" w:w="110"/>
              <w:bottom w:type="dxa" w:w="80"/>
              <w:right w:type="dxa" w:w="110"/>
            </w:tcMar>
          </w:tcPr>
          <w:p>
            <w:pPr>
              <w:spacing w:after="0"/>
            </w:pPr>
            <w:r>
              <w:rPr>
                <w:b/>
                <w:bCs/>
                <w:color w:val="4338CA"/>
                <w:sz w:val="17"/>
                <w:szCs w:val="17"/>
              </w:rPr>
              <w:t xml:space="preserve">URS-06</w:t>
            </w:r>
          </w:p>
        </w:tc>
        <w:tc>
          <w:tcPr>
            <w:tcW w:type="pct" w:w="22%"/>
            <w:tcMar>
              <w:top w:type="dxa" w:w="80"/>
              <w:left w:type="dxa" w:w="110"/>
              <w:bottom w:type="dxa" w:w="80"/>
              <w:right w:type="dxa" w:w="110"/>
            </w:tcMar>
          </w:tcPr>
          <w:p>
            <w:pPr>
              <w:spacing w:after="0"/>
            </w:pPr>
            <w:r>
              <w:rPr>
                <w:b/>
                <w:bCs/>
                <w:color w:val="047857"/>
                <w:sz w:val="17"/>
                <w:szCs w:val="17"/>
              </w:rPr>
              <w:t xml:space="preserve">OQ-02</w:t>
            </w:r>
          </w:p>
        </w:tc>
        <w:tc>
          <w:tcPr>
            <w:tcW w:type="pct" w:w="66%"/>
            <w:tcMar>
              <w:top w:type="dxa" w:w="80"/>
              <w:left w:type="dxa" w:w="110"/>
              <w:bottom w:type="dxa" w:w="80"/>
              <w:right w:type="dxa" w:w="110"/>
            </w:tcMar>
          </w:tcPr>
          <w:p>
            <w:pPr>
              <w:spacing w:after="0"/>
            </w:pPr>
            <w:r>
              <w:rPr>
                <w:sz w:val="17"/>
                <w:szCs w:val="17"/>
              </w:rPr>
              <w:t xml:space="preserve">Cas de test automatisé exécuté par l'éditeur à chaque version, résultat en section 5.1.</w:t>
            </w:r>
          </w:p>
        </w:tc>
      </w:tr>
      <w:tr>
        <w:tc>
          <w:tcPr>
            <w:tcW w:type="pct" w:w="12%"/>
            <w:tcMar>
              <w:top w:type="dxa" w:w="80"/>
              <w:left w:type="dxa" w:w="110"/>
              <w:bottom w:type="dxa" w:w="80"/>
              <w:right w:type="dxa" w:w="110"/>
            </w:tcMar>
          </w:tcPr>
          <w:p>
            <w:pPr>
              <w:spacing w:after="0"/>
            </w:pPr>
            <w:r>
              <w:rPr>
                <w:b/>
                <w:bCs/>
                <w:color w:val="4338CA"/>
                <w:sz w:val="17"/>
                <w:szCs w:val="17"/>
              </w:rPr>
              <w:t xml:space="preserve">URS-07</w:t>
            </w:r>
          </w:p>
        </w:tc>
        <w:tc>
          <w:tcPr>
            <w:tcW w:type="pct" w:w="22%"/>
            <w:tcMar>
              <w:top w:type="dxa" w:w="80"/>
              <w:left w:type="dxa" w:w="110"/>
              <w:bottom w:type="dxa" w:w="80"/>
              <w:right w:type="dxa" w:w="110"/>
            </w:tcMar>
          </w:tcPr>
          <w:p>
            <w:pPr>
              <w:spacing w:after="0"/>
            </w:pPr>
            <w:r>
              <w:rPr>
                <w:b/>
                <w:bCs/>
                <w:color w:val="047857"/>
                <w:sz w:val="17"/>
                <w:szCs w:val="17"/>
              </w:rPr>
              <w:t xml:space="preserve">OQ-03</w:t>
            </w:r>
          </w:p>
        </w:tc>
        <w:tc>
          <w:tcPr>
            <w:tcW w:type="pct" w:w="66%"/>
            <w:tcMar>
              <w:top w:type="dxa" w:w="80"/>
              <w:left w:type="dxa" w:w="110"/>
              <w:bottom w:type="dxa" w:w="80"/>
              <w:right w:type="dxa" w:w="110"/>
            </w:tcMar>
          </w:tcPr>
          <w:p>
            <w:pPr>
              <w:spacing w:after="0"/>
            </w:pPr>
            <w:r>
              <w:rPr>
                <w:sz w:val="17"/>
                <w:szCs w:val="17"/>
              </w:rPr>
              <w:t xml:space="preserve">Cas de test automatisé exécuté par l'éditeur à chaque version, résultat en section 5.1.</w:t>
            </w:r>
          </w:p>
        </w:tc>
      </w:tr>
      <w:tr>
        <w:tc>
          <w:tcPr>
            <w:tcW w:type="pct" w:w="12%"/>
            <w:tcMar>
              <w:top w:type="dxa" w:w="80"/>
              <w:left w:type="dxa" w:w="110"/>
              <w:bottom w:type="dxa" w:w="80"/>
              <w:right w:type="dxa" w:w="110"/>
            </w:tcMar>
          </w:tcPr>
          <w:p>
            <w:pPr>
              <w:spacing w:after="0"/>
            </w:pPr>
            <w:r>
              <w:rPr>
                <w:b/>
                <w:bCs/>
                <w:color w:val="4338CA"/>
                <w:sz w:val="17"/>
                <w:szCs w:val="17"/>
              </w:rPr>
              <w:t xml:space="preserve">URS-08</w:t>
            </w:r>
          </w:p>
        </w:tc>
        <w:tc>
          <w:tcPr>
            <w:tcW w:type="pct" w:w="22%"/>
            <w:tcMar>
              <w:top w:type="dxa" w:w="80"/>
              <w:left w:type="dxa" w:w="110"/>
              <w:bottom w:type="dxa" w:w="80"/>
              <w:right w:type="dxa" w:w="110"/>
            </w:tcMar>
          </w:tcPr>
          <w:p>
            <w:pPr>
              <w:spacing w:after="0"/>
            </w:pPr>
            <w:r>
              <w:rPr>
                <w:b/>
                <w:bCs/>
                <w:color w:val="047857"/>
                <w:sz w:val="17"/>
                <w:szCs w:val="17"/>
              </w:rPr>
              <w:t xml:space="preserve">OQ-05</w:t>
            </w:r>
          </w:p>
        </w:tc>
        <w:tc>
          <w:tcPr>
            <w:tcW w:type="pct" w:w="66%"/>
            <w:tcMar>
              <w:top w:type="dxa" w:w="80"/>
              <w:left w:type="dxa" w:w="110"/>
              <w:bottom w:type="dxa" w:w="80"/>
              <w:right w:type="dxa" w:w="110"/>
            </w:tcMar>
          </w:tcPr>
          <w:p>
            <w:pPr>
              <w:spacing w:after="0"/>
            </w:pPr>
            <w:r>
              <w:rPr>
                <w:sz w:val="17"/>
                <w:szCs w:val="17"/>
              </w:rPr>
              <w:t xml:space="preserve">Cas de test automatisé exécuté par l'éditeur à chaque version, résultat en section 5.1.</w:t>
            </w:r>
          </w:p>
        </w:tc>
      </w:tr>
      <w:tr>
        <w:tc>
          <w:tcPr>
            <w:tcW w:type="pct" w:w="12%"/>
            <w:tcMar>
              <w:top w:type="dxa" w:w="80"/>
              <w:left w:type="dxa" w:w="110"/>
              <w:bottom w:type="dxa" w:w="80"/>
              <w:right w:type="dxa" w:w="110"/>
            </w:tcMar>
          </w:tcPr>
          <w:p>
            <w:pPr>
              <w:spacing w:after="0"/>
            </w:pPr>
            <w:r>
              <w:rPr>
                <w:b/>
                <w:bCs/>
                <w:color w:val="4338CA"/>
                <w:sz w:val="17"/>
                <w:szCs w:val="17"/>
              </w:rPr>
              <w:t xml:space="preserve">URS-09</w:t>
            </w:r>
          </w:p>
        </w:tc>
        <w:tc>
          <w:tcPr>
            <w:tcW w:type="pct" w:w="22%"/>
            <w:tcMar>
              <w:top w:type="dxa" w:w="80"/>
              <w:left w:type="dxa" w:w="110"/>
              <w:bottom w:type="dxa" w:w="80"/>
              <w:right w:type="dxa" w:w="110"/>
            </w:tcMar>
          </w:tcPr>
          <w:p>
            <w:pPr>
              <w:spacing w:after="0"/>
            </w:pPr>
            <w:r>
              <w:rPr>
                <w:b/>
                <w:bCs/>
                <w:color w:val="047857"/>
                <w:sz w:val="17"/>
                <w:szCs w:val="17"/>
              </w:rPr>
              <w:t xml:space="preserve">OQ-04</w:t>
            </w:r>
          </w:p>
        </w:tc>
        <w:tc>
          <w:tcPr>
            <w:tcW w:type="pct" w:w="66%"/>
            <w:tcMar>
              <w:top w:type="dxa" w:w="80"/>
              <w:left w:type="dxa" w:w="110"/>
              <w:bottom w:type="dxa" w:w="80"/>
              <w:right w:type="dxa" w:w="110"/>
            </w:tcMar>
          </w:tcPr>
          <w:p>
            <w:pPr>
              <w:spacing w:after="0"/>
            </w:pPr>
            <w:r>
              <w:rPr>
                <w:sz w:val="17"/>
                <w:szCs w:val="17"/>
              </w:rPr>
              <w:t xml:space="preserve">Cas de test automatisé exécuté par l'éditeur à chaque version, résultat en section 5.1.</w:t>
            </w:r>
          </w:p>
        </w:tc>
      </w:tr>
      <w:tr>
        <w:tc>
          <w:tcPr>
            <w:tcW w:type="pct" w:w="12%"/>
            <w:tcMar>
              <w:top w:type="dxa" w:w="80"/>
              <w:left w:type="dxa" w:w="110"/>
              <w:bottom w:type="dxa" w:w="80"/>
              <w:right w:type="dxa" w:w="110"/>
            </w:tcMar>
          </w:tcPr>
          <w:p>
            <w:pPr>
              <w:spacing w:after="0"/>
            </w:pPr>
            <w:r>
              <w:rPr>
                <w:b/>
                <w:bCs/>
                <w:color w:val="4338CA"/>
                <w:sz w:val="17"/>
                <w:szCs w:val="17"/>
              </w:rPr>
              <w:t xml:space="preserve">URS-10</w:t>
            </w:r>
          </w:p>
        </w:tc>
        <w:tc>
          <w:tcPr>
            <w:tcW w:type="pct" w:w="22%"/>
            <w:tcMar>
              <w:top w:type="dxa" w:w="80"/>
              <w:left w:type="dxa" w:w="110"/>
              <w:bottom w:type="dxa" w:w="80"/>
              <w:right w:type="dxa" w:w="110"/>
            </w:tcMar>
          </w:tcPr>
          <w:p>
            <w:pPr>
              <w:spacing w:after="0"/>
            </w:pPr>
            <w:r>
              <w:rPr>
                <w:b/>
                <w:bCs/>
                <w:color w:val="047857"/>
                <w:sz w:val="17"/>
                <w:szCs w:val="17"/>
              </w:rPr>
              <w:t xml:space="preserve">OQ-06</w:t>
            </w:r>
          </w:p>
        </w:tc>
        <w:tc>
          <w:tcPr>
            <w:tcW w:type="pct" w:w="66%"/>
            <w:tcMar>
              <w:top w:type="dxa" w:w="80"/>
              <w:left w:type="dxa" w:w="110"/>
              <w:bottom w:type="dxa" w:w="80"/>
              <w:right w:type="dxa" w:w="110"/>
            </w:tcMar>
          </w:tcPr>
          <w:p>
            <w:pPr>
              <w:spacing w:after="0"/>
            </w:pPr>
            <w:r>
              <w:rPr>
                <w:sz w:val="17"/>
                <w:szCs w:val="17"/>
              </w:rPr>
              <w:t xml:space="preserve">Cas de test automatisé exécuté par l'éditeur à chaque version, résultat en section 5.1.</w:t>
            </w:r>
          </w:p>
        </w:tc>
      </w:tr>
      <w:tr>
        <w:tc>
          <w:tcPr>
            <w:tcW w:type="pct" w:w="12%"/>
            <w:tcMar>
              <w:top w:type="dxa" w:w="80"/>
              <w:left w:type="dxa" w:w="110"/>
              <w:bottom w:type="dxa" w:w="80"/>
              <w:right w:type="dxa" w:w="110"/>
            </w:tcMar>
          </w:tcPr>
          <w:p>
            <w:pPr>
              <w:spacing w:after="0"/>
            </w:pPr>
            <w:r>
              <w:rPr>
                <w:b/>
                <w:bCs/>
                <w:color w:val="4338CA"/>
                <w:sz w:val="17"/>
                <w:szCs w:val="17"/>
              </w:rPr>
              <w:t xml:space="preserve">URS-11</w:t>
            </w:r>
          </w:p>
        </w:tc>
        <w:tc>
          <w:tcPr>
            <w:tcW w:type="pct" w:w="22%"/>
            <w:tcMar>
              <w:top w:type="dxa" w:w="80"/>
              <w:left w:type="dxa" w:w="110"/>
              <w:bottom w:type="dxa" w:w="80"/>
              <w:right w:type="dxa" w:w="110"/>
            </w:tcMar>
          </w:tcPr>
          <w:p>
            <w:pPr>
              <w:spacing w:after="0"/>
            </w:pPr>
            <w:r>
              <w:rPr>
                <w:b/>
                <w:bCs/>
                <w:color w:val="047857"/>
                <w:sz w:val="17"/>
                <w:szCs w:val="17"/>
              </w:rPr>
              <w:t xml:space="preserve">OQ-07</w:t>
            </w:r>
          </w:p>
        </w:tc>
        <w:tc>
          <w:tcPr>
            <w:tcW w:type="pct" w:w="66%"/>
            <w:tcMar>
              <w:top w:type="dxa" w:w="80"/>
              <w:left w:type="dxa" w:w="110"/>
              <w:bottom w:type="dxa" w:w="80"/>
              <w:right w:type="dxa" w:w="110"/>
            </w:tcMar>
          </w:tcPr>
          <w:p>
            <w:pPr>
              <w:spacing w:after="0"/>
            </w:pPr>
            <w:r>
              <w:rPr>
                <w:sz w:val="17"/>
                <w:szCs w:val="17"/>
              </w:rPr>
              <w:t xml:space="preserve">Cas de test automatisé exécuté par l'éditeur à chaque version, résultat en section 5.1.</w:t>
            </w:r>
          </w:p>
        </w:tc>
      </w:tr>
      <w:tr>
        <w:tc>
          <w:tcPr>
            <w:tcW w:type="pct" w:w="12%"/>
            <w:tcMar>
              <w:top w:type="dxa" w:w="80"/>
              <w:left w:type="dxa" w:w="110"/>
              <w:bottom w:type="dxa" w:w="80"/>
              <w:right w:type="dxa" w:w="110"/>
            </w:tcMar>
          </w:tcPr>
          <w:p>
            <w:pPr>
              <w:spacing w:after="0"/>
            </w:pPr>
            <w:r>
              <w:rPr>
                <w:b/>
                <w:bCs/>
                <w:color w:val="4338CA"/>
                <w:sz w:val="17"/>
                <w:szCs w:val="17"/>
              </w:rPr>
              <w:t xml:space="preserve">URS-12</w:t>
            </w:r>
          </w:p>
        </w:tc>
        <w:tc>
          <w:tcPr>
            <w:tcW w:type="pct" w:w="22%"/>
            <w:tcMar>
              <w:top w:type="dxa" w:w="80"/>
              <w:left w:type="dxa" w:w="110"/>
              <w:bottom w:type="dxa" w:w="80"/>
              <w:right w:type="dxa" w:w="110"/>
            </w:tcMar>
          </w:tcPr>
          <w:p>
            <w:pPr>
              <w:spacing w:after="0"/>
            </w:pPr>
            <w:r>
              <w:rPr>
                <w:b/>
                <w:bCs/>
                <w:color w:val="047857"/>
                <w:sz w:val="17"/>
                <w:szCs w:val="17"/>
              </w:rPr>
              <w:t xml:space="preserve">OQ-08</w:t>
            </w:r>
          </w:p>
        </w:tc>
        <w:tc>
          <w:tcPr>
            <w:tcW w:type="pct" w:w="66%"/>
            <w:tcMar>
              <w:top w:type="dxa" w:w="80"/>
              <w:left w:type="dxa" w:w="110"/>
              <w:bottom w:type="dxa" w:w="80"/>
              <w:right w:type="dxa" w:w="110"/>
            </w:tcMar>
          </w:tcPr>
          <w:p>
            <w:pPr>
              <w:spacing w:after="0"/>
            </w:pPr>
            <w:r>
              <w:rPr>
                <w:sz w:val="17"/>
                <w:szCs w:val="17"/>
              </w:rPr>
              <w:t xml:space="preserve">Cas de test automatisé exécuté par l'éditeur à chaque version, résultat en section 5.1.</w:t>
            </w:r>
          </w:p>
        </w:tc>
      </w:tr>
      <w:tr>
        <w:tc>
          <w:tcPr>
            <w:tcW w:type="pct" w:w="12%"/>
            <w:tcMar>
              <w:top w:type="dxa" w:w="80"/>
              <w:left w:type="dxa" w:w="110"/>
              <w:bottom w:type="dxa" w:w="80"/>
              <w:right w:type="dxa" w:w="110"/>
            </w:tcMar>
          </w:tcPr>
          <w:p>
            <w:pPr>
              <w:spacing w:after="0"/>
            </w:pPr>
            <w:r>
              <w:rPr>
                <w:b/>
                <w:bCs/>
                <w:color w:val="4338CA"/>
                <w:sz w:val="17"/>
                <w:szCs w:val="17"/>
              </w:rPr>
              <w:t xml:space="preserve">URS-13</w:t>
            </w:r>
          </w:p>
        </w:tc>
        <w:tc>
          <w:tcPr>
            <w:tcW w:type="pct" w:w="22%"/>
            <w:tcMar>
              <w:top w:type="dxa" w:w="80"/>
              <w:left w:type="dxa" w:w="110"/>
              <w:bottom w:type="dxa" w:w="80"/>
              <w:right w:type="dxa" w:w="110"/>
            </w:tcMar>
          </w:tcPr>
          <w:p>
            <w:pPr>
              <w:spacing w:after="0"/>
            </w:pPr>
            <w:r>
              <w:rPr>
                <w:b/>
                <w:bCs/>
                <w:color w:val="047857"/>
                <w:sz w:val="17"/>
                <w:szCs w:val="17"/>
              </w:rPr>
              <w:t xml:space="preserve">OQ-09</w:t>
            </w:r>
          </w:p>
        </w:tc>
        <w:tc>
          <w:tcPr>
            <w:tcW w:type="pct" w:w="66%"/>
            <w:tcMar>
              <w:top w:type="dxa" w:w="80"/>
              <w:left w:type="dxa" w:w="110"/>
              <w:bottom w:type="dxa" w:w="80"/>
              <w:right w:type="dxa" w:w="110"/>
            </w:tcMar>
          </w:tcPr>
          <w:p>
            <w:pPr>
              <w:spacing w:after="0"/>
            </w:pPr>
            <w:r>
              <w:rPr>
                <w:sz w:val="17"/>
                <w:szCs w:val="17"/>
              </w:rPr>
              <w:t xml:space="preserve">Cas de test automatisé exécuté par l'éditeur à chaque version, résultat en section 5.1.</w:t>
            </w:r>
          </w:p>
        </w:tc>
      </w:tr>
      <w:tr>
        <w:tc>
          <w:tcPr>
            <w:tcW w:type="pct" w:w="12%"/>
            <w:tcMar>
              <w:top w:type="dxa" w:w="80"/>
              <w:left w:type="dxa" w:w="110"/>
              <w:bottom w:type="dxa" w:w="80"/>
              <w:right w:type="dxa" w:w="110"/>
            </w:tcMar>
          </w:tcPr>
          <w:p>
            <w:pPr>
              <w:spacing w:after="0"/>
            </w:pPr>
            <w:r>
              <w:rPr>
                <w:b/>
                <w:bCs/>
                <w:color w:val="4338CA"/>
                <w:sz w:val="17"/>
                <w:szCs w:val="17"/>
              </w:rPr>
              <w:t xml:space="preserve">URS-14</w:t>
            </w:r>
          </w:p>
        </w:tc>
        <w:tc>
          <w:tcPr>
            <w:tcW w:type="pct" w:w="22%"/>
            <w:tcMar>
              <w:top w:type="dxa" w:w="80"/>
              <w:left w:type="dxa" w:w="110"/>
              <w:bottom w:type="dxa" w:w="80"/>
              <w:right w:type="dxa" w:w="110"/>
            </w:tcMar>
          </w:tcPr>
          <w:p>
            <w:pPr>
              <w:spacing w:after="0"/>
            </w:pPr>
            <w:r>
              <w:rPr>
                <w:b/>
                <w:bCs/>
                <w:color w:val="047857"/>
                <w:sz w:val="17"/>
                <w:szCs w:val="17"/>
              </w:rPr>
              <w:t xml:space="preserve">OQ-10</w:t>
            </w:r>
          </w:p>
        </w:tc>
        <w:tc>
          <w:tcPr>
            <w:tcW w:type="pct" w:w="66%"/>
            <w:tcMar>
              <w:top w:type="dxa" w:w="80"/>
              <w:left w:type="dxa" w:w="110"/>
              <w:bottom w:type="dxa" w:w="80"/>
              <w:right w:type="dxa" w:w="110"/>
            </w:tcMar>
          </w:tcPr>
          <w:p>
            <w:pPr>
              <w:spacing w:after="0"/>
            </w:pPr>
            <w:r>
              <w:rPr>
                <w:sz w:val="17"/>
                <w:szCs w:val="17"/>
              </w:rPr>
              <w:t xml:space="preserve">Cas de test automatisé exécuté par l'éditeur à chaque version, résultat en section 5.1.</w:t>
            </w:r>
          </w:p>
        </w:tc>
      </w:tr>
      <w:tr>
        <w:tc>
          <w:tcPr>
            <w:tcW w:type="pct" w:w="12%"/>
            <w:tcMar>
              <w:top w:type="dxa" w:w="80"/>
              <w:left w:type="dxa" w:w="110"/>
              <w:bottom w:type="dxa" w:w="80"/>
              <w:right w:type="dxa" w:w="110"/>
            </w:tcMar>
          </w:tcPr>
          <w:p>
            <w:pPr>
              <w:spacing w:after="0"/>
            </w:pPr>
            <w:r>
              <w:rPr>
                <w:b/>
                <w:bCs/>
                <w:color w:val="4338CA"/>
                <w:sz w:val="17"/>
                <w:szCs w:val="17"/>
              </w:rPr>
              <w:t xml:space="preserve">URS-15</w:t>
            </w:r>
          </w:p>
        </w:tc>
        <w:tc>
          <w:tcPr>
            <w:tcW w:type="pct" w:w="22%"/>
            <w:tcMar>
              <w:top w:type="dxa" w:w="80"/>
              <w:left w:type="dxa" w:w="110"/>
              <w:bottom w:type="dxa" w:w="80"/>
              <w:right w:type="dxa" w:w="110"/>
            </w:tcMar>
          </w:tcPr>
          <w:p>
            <w:pPr>
              <w:spacing w:after="0"/>
            </w:pPr>
            <w:r>
              <w:rPr>
                <w:b/>
                <w:bCs/>
                <w:color w:val="047857"/>
                <w:sz w:val="17"/>
                <w:szCs w:val="17"/>
              </w:rPr>
              <w:t xml:space="preserve">OQ-16</w:t>
            </w:r>
          </w:p>
        </w:tc>
        <w:tc>
          <w:tcPr>
            <w:tcW w:type="pct" w:w="66%"/>
            <w:tcMar>
              <w:top w:type="dxa" w:w="80"/>
              <w:left w:type="dxa" w:w="110"/>
              <w:bottom w:type="dxa" w:w="80"/>
              <w:right w:type="dxa" w:w="110"/>
            </w:tcMar>
          </w:tcPr>
          <w:p>
            <w:pPr>
              <w:spacing w:after="0"/>
            </w:pPr>
            <w:r>
              <w:rPr>
                <w:sz w:val="17"/>
                <w:szCs w:val="17"/>
              </w:rPr>
              <w:t xml:space="preserve">Cas de test automatisé exécuté par l'éditeur à chaque version, résultat en section 5.1.</w:t>
            </w:r>
          </w:p>
        </w:tc>
      </w:tr>
      <w:tr>
        <w:tc>
          <w:tcPr>
            <w:tcW w:type="pct" w:w="12%"/>
            <w:tcMar>
              <w:top w:type="dxa" w:w="80"/>
              <w:left w:type="dxa" w:w="110"/>
              <w:bottom w:type="dxa" w:w="80"/>
              <w:right w:type="dxa" w:w="110"/>
            </w:tcMar>
          </w:tcPr>
          <w:p>
            <w:pPr>
              <w:spacing w:after="0"/>
            </w:pPr>
            <w:r>
              <w:rPr>
                <w:b/>
                <w:bCs/>
                <w:color w:val="4338CA"/>
                <w:sz w:val="17"/>
                <w:szCs w:val="17"/>
              </w:rPr>
              <w:t xml:space="preserve">URS-16</w:t>
            </w:r>
          </w:p>
        </w:tc>
        <w:tc>
          <w:tcPr>
            <w:tcW w:type="pct" w:w="22%"/>
            <w:tcMar>
              <w:top w:type="dxa" w:w="80"/>
              <w:left w:type="dxa" w:w="110"/>
              <w:bottom w:type="dxa" w:w="80"/>
              <w:right w:type="dxa" w:w="110"/>
            </w:tcMar>
          </w:tcPr>
          <w:p>
            <w:pPr>
              <w:spacing w:after="0"/>
            </w:pPr>
            <w:r>
              <w:rPr>
                <w:b/>
                <w:bCs/>
                <w:color w:val="047857"/>
                <w:sz w:val="17"/>
                <w:szCs w:val="17"/>
              </w:rPr>
              <w:t xml:space="preserve">OQ-14</w:t>
            </w:r>
          </w:p>
        </w:tc>
        <w:tc>
          <w:tcPr>
            <w:tcW w:type="pct" w:w="66%"/>
            <w:tcMar>
              <w:top w:type="dxa" w:w="80"/>
              <w:left w:type="dxa" w:w="110"/>
              <w:bottom w:type="dxa" w:w="80"/>
              <w:right w:type="dxa" w:w="110"/>
            </w:tcMar>
          </w:tcPr>
          <w:p>
            <w:pPr>
              <w:spacing w:after="0"/>
            </w:pPr>
            <w:r>
              <w:rPr>
                <w:sz w:val="17"/>
                <w:szCs w:val="17"/>
              </w:rPr>
              <w:t xml:space="preserve">Cas de test automatisé exécuté par l'éditeur à chaque version, résultat en section 5.1.</w:t>
            </w:r>
          </w:p>
        </w:tc>
      </w:tr>
      <w:tr>
        <w:tc>
          <w:tcPr>
            <w:tcW w:type="pct" w:w="12%"/>
            <w:tcMar>
              <w:top w:type="dxa" w:w="80"/>
              <w:left w:type="dxa" w:w="110"/>
              <w:bottom w:type="dxa" w:w="80"/>
              <w:right w:type="dxa" w:w="110"/>
            </w:tcMar>
          </w:tcPr>
          <w:p>
            <w:pPr>
              <w:spacing w:after="0"/>
            </w:pPr>
            <w:r>
              <w:rPr>
                <w:b/>
                <w:bCs/>
                <w:color w:val="4338CA"/>
                <w:sz w:val="17"/>
                <w:szCs w:val="17"/>
              </w:rPr>
              <w:t xml:space="preserve">URS-17</w:t>
            </w:r>
          </w:p>
        </w:tc>
        <w:tc>
          <w:tcPr>
            <w:tcW w:type="pct" w:w="22%"/>
            <w:tcMar>
              <w:top w:type="dxa" w:w="80"/>
              <w:left w:type="dxa" w:w="110"/>
              <w:bottom w:type="dxa" w:w="80"/>
              <w:right w:type="dxa" w:w="110"/>
            </w:tcMar>
          </w:tcPr>
          <w:p>
            <w:pPr>
              <w:spacing w:after="0"/>
            </w:pPr>
            <w:r>
              <w:rPr>
                <w:b/>
                <w:bCs/>
                <w:color w:val="047857"/>
                <w:sz w:val="17"/>
                <w:szCs w:val="17"/>
              </w:rPr>
              <w:t xml:space="preserve">OQ-15</w:t>
            </w:r>
          </w:p>
        </w:tc>
        <w:tc>
          <w:tcPr>
            <w:tcW w:type="pct" w:w="66%"/>
            <w:tcMar>
              <w:top w:type="dxa" w:w="80"/>
              <w:left w:type="dxa" w:w="110"/>
              <w:bottom w:type="dxa" w:w="80"/>
              <w:right w:type="dxa" w:w="110"/>
            </w:tcMar>
          </w:tcPr>
          <w:p>
            <w:pPr>
              <w:spacing w:after="0"/>
            </w:pPr>
            <w:r>
              <w:rPr>
                <w:sz w:val="17"/>
                <w:szCs w:val="17"/>
              </w:rPr>
              <w:t xml:space="preserve">Cas de test automatisé exécuté par l'éditeur à chaque version, résultat en section 5.1.</w:t>
            </w:r>
          </w:p>
        </w:tc>
      </w:tr>
      <w:tr>
        <w:tc>
          <w:tcPr>
            <w:tcW w:type="pct" w:w="12%"/>
            <w:tcMar>
              <w:top w:type="dxa" w:w="80"/>
              <w:left w:type="dxa" w:w="110"/>
              <w:bottom w:type="dxa" w:w="80"/>
              <w:right w:type="dxa" w:w="110"/>
            </w:tcMar>
          </w:tcPr>
          <w:p>
            <w:pPr>
              <w:spacing w:after="0"/>
            </w:pPr>
            <w:r>
              <w:rPr>
                <w:b/>
                <w:bCs/>
                <w:color w:val="4338CA"/>
                <w:sz w:val="17"/>
                <w:szCs w:val="17"/>
              </w:rPr>
              <w:t xml:space="preserve">URS-18</w:t>
            </w:r>
          </w:p>
        </w:tc>
        <w:tc>
          <w:tcPr>
            <w:tcW w:type="pct" w:w="22%"/>
            <w:tcMar>
              <w:top w:type="dxa" w:w="80"/>
              <w:left w:type="dxa" w:w="110"/>
              <w:bottom w:type="dxa" w:w="80"/>
              <w:right w:type="dxa" w:w="110"/>
            </w:tcMar>
          </w:tcPr>
          <w:p>
            <w:pPr>
              <w:spacing w:after="0"/>
            </w:pPr>
            <w:r>
              <w:rPr>
                <w:b/>
                <w:bCs/>
                <w:color w:val="047857"/>
                <w:sz w:val="17"/>
                <w:szCs w:val="17"/>
              </w:rPr>
              <w:t xml:space="preserve">OQ-13</w:t>
            </w:r>
          </w:p>
        </w:tc>
        <w:tc>
          <w:tcPr>
            <w:tcW w:type="pct" w:w="66%"/>
            <w:tcMar>
              <w:top w:type="dxa" w:w="80"/>
              <w:left w:type="dxa" w:w="110"/>
              <w:bottom w:type="dxa" w:w="80"/>
              <w:right w:type="dxa" w:w="110"/>
            </w:tcMar>
          </w:tcPr>
          <w:p>
            <w:pPr>
              <w:spacing w:after="0"/>
            </w:pPr>
            <w:r>
              <w:rPr>
                <w:sz w:val="17"/>
                <w:szCs w:val="17"/>
              </w:rPr>
              <w:t xml:space="preserve">Cas de test automatisé exécuté par l'éditeur à chaque version, résultat en section 5.1.</w:t>
            </w:r>
          </w:p>
        </w:tc>
      </w:tr>
      <w:tr>
        <w:tc>
          <w:tcPr>
            <w:tcW w:type="pct" w:w="12%"/>
            <w:tcMar>
              <w:top w:type="dxa" w:w="80"/>
              <w:left w:type="dxa" w:w="110"/>
              <w:bottom w:type="dxa" w:w="80"/>
              <w:right w:type="dxa" w:w="110"/>
            </w:tcMar>
          </w:tcPr>
          <w:p>
            <w:pPr>
              <w:spacing w:after="0"/>
            </w:pPr>
            <w:r>
              <w:rPr>
                <w:b/>
                <w:bCs/>
                <w:color w:val="4338CA"/>
                <w:sz w:val="17"/>
                <w:szCs w:val="17"/>
              </w:rPr>
              <w:t xml:space="preserve">URS-19</w:t>
            </w:r>
          </w:p>
        </w:tc>
        <w:tc>
          <w:tcPr>
            <w:tcW w:type="pct" w:w="22%"/>
            <w:tcMar>
              <w:top w:type="dxa" w:w="80"/>
              <w:left w:type="dxa" w:w="110"/>
              <w:bottom w:type="dxa" w:w="80"/>
              <w:right w:type="dxa" w:w="110"/>
            </w:tcMar>
          </w:tcPr>
          <w:p>
            <w:pPr>
              <w:spacing w:after="0"/>
            </w:pPr>
            <w:r>
              <w:rPr>
                <w:b/>
                <w:bCs/>
                <w:color w:val="B45309"/>
                <w:sz w:val="17"/>
                <w:szCs w:val="17"/>
              </w:rPr>
              <w:t xml:space="preserve">Qualification de performance</w:t>
            </w:r>
          </w:p>
        </w:tc>
        <w:tc>
          <w:tcPr>
            <w:tcW w:type="pct" w:w="66%"/>
            <w:tcMar>
              <w:top w:type="dxa" w:w="80"/>
              <w:left w:type="dxa" w:w="110"/>
              <w:bottom w:type="dxa" w:w="80"/>
              <w:right w:type="dxa" w:w="110"/>
            </w:tcMar>
          </w:tcPr>
          <w:p>
            <w:pPr>
              <w:spacing w:after="0"/>
            </w:pPr>
            <w:r>
              <w:rPr>
                <w:sz w:val="17"/>
                <w:szCs w:val="17"/>
              </w:rPr>
              <w:t xml:space="preserve">À exécuter chez vous : Ouvrir la même exigence en modification dans deux navigateurs, enregistrer dans le premier, puis dans le second : le second est refusé avec un message explicite et la saisie est conservée.</w:t>
            </w:r>
          </w:p>
        </w:tc>
      </w:tr>
      <w:tr>
        <w:tc>
          <w:tcPr>
            <w:tcW w:type="pct" w:w="12%"/>
            <w:tcMar>
              <w:top w:type="dxa" w:w="80"/>
              <w:left w:type="dxa" w:w="110"/>
              <w:bottom w:type="dxa" w:w="80"/>
              <w:right w:type="dxa" w:w="110"/>
            </w:tcMar>
          </w:tcPr>
          <w:p>
            <w:pPr>
              <w:spacing w:after="0"/>
            </w:pPr>
            <w:r>
              <w:rPr>
                <w:b/>
                <w:bCs/>
                <w:color w:val="4338CA"/>
                <w:sz w:val="17"/>
                <w:szCs w:val="17"/>
              </w:rPr>
              <w:t xml:space="preserve">URS-20</w:t>
            </w:r>
          </w:p>
        </w:tc>
        <w:tc>
          <w:tcPr>
            <w:tcW w:type="pct" w:w="22%"/>
            <w:tcMar>
              <w:top w:type="dxa" w:w="80"/>
              <w:left w:type="dxa" w:w="110"/>
              <w:bottom w:type="dxa" w:w="80"/>
              <w:right w:type="dxa" w:w="110"/>
            </w:tcMar>
          </w:tcPr>
          <w:p>
            <w:pPr>
              <w:spacing w:after="0"/>
            </w:pPr>
            <w:r>
              <w:rPr>
                <w:b/>
                <w:bCs/>
                <w:color w:val="B45309"/>
                <w:sz w:val="17"/>
                <w:szCs w:val="17"/>
              </w:rPr>
              <w:t xml:space="preserve">Qualification de performance</w:t>
            </w:r>
          </w:p>
        </w:tc>
        <w:tc>
          <w:tcPr>
            <w:tcW w:type="pct" w:w="66%"/>
            <w:tcMar>
              <w:top w:type="dxa" w:w="80"/>
              <w:left w:type="dxa" w:w="110"/>
              <w:bottom w:type="dxa" w:w="80"/>
              <w:right w:type="dxa" w:w="110"/>
            </w:tcMar>
          </w:tcPr>
          <w:p>
            <w:pPr>
              <w:spacing w:after="0"/>
            </w:pPr>
            <w:r>
              <w:rPr>
                <w:sz w:val="17"/>
                <w:szCs w:val="17"/>
              </w:rPr>
              <w:t xml:space="preserve">À exécuter chez vous : Lire le numéro de version en pied de barre latérale et le consigner dans le rapport d'installation.</w:t>
            </w:r>
          </w:p>
        </w:tc>
      </w:tr>
      <w:tr>
        <w:tc>
          <w:tcPr>
            <w:tcW w:type="pct" w:w="12%"/>
            <w:tcMar>
              <w:top w:type="dxa" w:w="80"/>
              <w:left w:type="dxa" w:w="110"/>
              <w:bottom w:type="dxa" w:w="80"/>
              <w:right w:type="dxa" w:w="110"/>
            </w:tcMar>
          </w:tcPr>
          <w:p>
            <w:pPr>
              <w:spacing w:after="0"/>
            </w:pPr>
            <w:r>
              <w:rPr>
                <w:b/>
                <w:bCs/>
                <w:color w:val="4338CA"/>
                <w:sz w:val="17"/>
                <w:szCs w:val="17"/>
              </w:rPr>
              <w:t xml:space="preserve">URS-21</w:t>
            </w:r>
          </w:p>
        </w:tc>
        <w:tc>
          <w:tcPr>
            <w:tcW w:type="pct" w:w="22%"/>
            <w:tcMar>
              <w:top w:type="dxa" w:w="80"/>
              <w:left w:type="dxa" w:w="110"/>
              <w:bottom w:type="dxa" w:w="80"/>
              <w:right w:type="dxa" w:w="110"/>
            </w:tcMar>
          </w:tcPr>
          <w:p>
            <w:pPr>
              <w:spacing w:after="0"/>
            </w:pPr>
            <w:r>
              <w:rPr>
                <w:b/>
                <w:bCs/>
                <w:color w:val="047857"/>
                <w:sz w:val="17"/>
                <w:szCs w:val="17"/>
              </w:rPr>
              <w:t xml:space="preserve">OQ-17</w:t>
            </w:r>
          </w:p>
        </w:tc>
        <w:tc>
          <w:tcPr>
            <w:tcW w:type="pct" w:w="66%"/>
            <w:tcMar>
              <w:top w:type="dxa" w:w="80"/>
              <w:left w:type="dxa" w:w="110"/>
              <w:bottom w:type="dxa" w:w="80"/>
              <w:right w:type="dxa" w:w="110"/>
            </w:tcMar>
          </w:tcPr>
          <w:p>
            <w:pPr>
              <w:spacing w:after="0"/>
            </w:pPr>
            <w:r>
              <w:rPr>
                <w:sz w:val="17"/>
                <w:szCs w:val="17"/>
              </w:rPr>
              <w:t xml:space="preserve">Cas de test automatisé exécuté par l'éditeur à chaque version, résultat en section 5.1.</w:t>
            </w:r>
          </w:p>
        </w:tc>
      </w:tr>
      <w:tr>
        <w:tc>
          <w:tcPr>
            <w:tcW w:type="pct" w:w="12%"/>
            <w:tcMar>
              <w:top w:type="dxa" w:w="80"/>
              <w:left w:type="dxa" w:w="110"/>
              <w:bottom w:type="dxa" w:w="80"/>
              <w:right w:type="dxa" w:w="110"/>
            </w:tcMar>
          </w:tcPr>
          <w:p>
            <w:pPr>
              <w:spacing w:after="0"/>
            </w:pPr>
            <w:r>
              <w:rPr>
                <w:b/>
                <w:bCs/>
                <w:color w:val="4338CA"/>
                <w:sz w:val="17"/>
                <w:szCs w:val="17"/>
              </w:rPr>
              <w:t xml:space="preserve">URS-22</w:t>
            </w:r>
          </w:p>
        </w:tc>
        <w:tc>
          <w:tcPr>
            <w:tcW w:type="pct" w:w="22%"/>
            <w:tcMar>
              <w:top w:type="dxa" w:w="80"/>
              <w:left w:type="dxa" w:w="110"/>
              <w:bottom w:type="dxa" w:w="80"/>
              <w:right w:type="dxa" w:w="110"/>
            </w:tcMar>
          </w:tcPr>
          <w:p>
            <w:pPr>
              <w:spacing w:after="0"/>
            </w:pPr>
            <w:r>
              <w:rPr>
                <w:b/>
                <w:bCs/>
                <w:color w:val="047857"/>
                <w:sz w:val="17"/>
                <w:szCs w:val="17"/>
              </w:rPr>
              <w:t xml:space="preserve">OQ-18</w:t>
            </w:r>
          </w:p>
        </w:tc>
        <w:tc>
          <w:tcPr>
            <w:tcW w:type="pct" w:w="66%"/>
            <w:tcMar>
              <w:top w:type="dxa" w:w="80"/>
              <w:left w:type="dxa" w:w="110"/>
              <w:bottom w:type="dxa" w:w="80"/>
              <w:right w:type="dxa" w:w="110"/>
            </w:tcMar>
          </w:tcPr>
          <w:p>
            <w:pPr>
              <w:spacing w:after="0"/>
            </w:pPr>
            <w:r>
              <w:rPr>
                <w:sz w:val="17"/>
                <w:szCs w:val="17"/>
              </w:rPr>
              <w:t xml:space="preserve">Cas de test automatisé exécuté par l'éditeur à chaque version, résultat en section 5.1.</w:t>
            </w:r>
          </w:p>
        </w:tc>
      </w:tr>
      <w:tr>
        <w:tc>
          <w:tcPr>
            <w:tcW w:type="pct" w:w="12%"/>
            <w:tcMar>
              <w:top w:type="dxa" w:w="80"/>
              <w:left w:type="dxa" w:w="110"/>
              <w:bottom w:type="dxa" w:w="80"/>
              <w:right w:type="dxa" w:w="110"/>
            </w:tcMar>
          </w:tcPr>
          <w:p>
            <w:pPr>
              <w:spacing w:after="0"/>
            </w:pPr>
            <w:r>
              <w:rPr>
                <w:b/>
                <w:bCs/>
                <w:color w:val="4338CA"/>
                <w:sz w:val="17"/>
                <w:szCs w:val="17"/>
              </w:rPr>
              <w:t xml:space="preserve">URS-23</w:t>
            </w:r>
          </w:p>
        </w:tc>
        <w:tc>
          <w:tcPr>
            <w:tcW w:type="pct" w:w="22%"/>
            <w:tcMar>
              <w:top w:type="dxa" w:w="80"/>
              <w:left w:type="dxa" w:w="110"/>
              <w:bottom w:type="dxa" w:w="80"/>
              <w:right w:type="dxa" w:w="110"/>
            </w:tcMar>
          </w:tcPr>
          <w:p>
            <w:pPr>
              <w:spacing w:after="0"/>
            </w:pPr>
            <w:r>
              <w:rPr>
                <w:b/>
                <w:bCs/>
                <w:color w:val="047857"/>
                <w:sz w:val="17"/>
                <w:szCs w:val="17"/>
              </w:rPr>
              <w:t xml:space="preserve">OQ-19</w:t>
            </w:r>
          </w:p>
        </w:tc>
        <w:tc>
          <w:tcPr>
            <w:tcW w:type="pct" w:w="66%"/>
            <w:tcMar>
              <w:top w:type="dxa" w:w="80"/>
              <w:left w:type="dxa" w:w="110"/>
              <w:bottom w:type="dxa" w:w="80"/>
              <w:right w:type="dxa" w:w="110"/>
            </w:tcMar>
          </w:tcPr>
          <w:p>
            <w:pPr>
              <w:spacing w:after="0"/>
            </w:pPr>
            <w:r>
              <w:rPr>
                <w:sz w:val="17"/>
                <w:szCs w:val="17"/>
              </w:rPr>
              <w:t xml:space="preserve">Cas de test automatisé exécuté par l'éditeur à chaque version, résultat en section 5.1.</w:t>
            </w:r>
          </w:p>
        </w:tc>
      </w:tr>
      <w:tr>
        <w:tc>
          <w:tcPr>
            <w:tcW w:type="pct" w:w="12%"/>
            <w:tcMar>
              <w:top w:type="dxa" w:w="80"/>
              <w:left w:type="dxa" w:w="110"/>
              <w:bottom w:type="dxa" w:w="80"/>
              <w:right w:type="dxa" w:w="110"/>
            </w:tcMar>
          </w:tcPr>
          <w:p>
            <w:pPr>
              <w:spacing w:after="0"/>
            </w:pPr>
            <w:r>
              <w:rPr>
                <w:b/>
                <w:bCs/>
                <w:color w:val="4338CA"/>
                <w:sz w:val="17"/>
                <w:szCs w:val="17"/>
              </w:rPr>
              <w:t xml:space="preserve">URS-24</w:t>
            </w:r>
          </w:p>
        </w:tc>
        <w:tc>
          <w:tcPr>
            <w:tcW w:type="pct" w:w="22%"/>
            <w:tcMar>
              <w:top w:type="dxa" w:w="80"/>
              <w:left w:type="dxa" w:w="110"/>
              <w:bottom w:type="dxa" w:w="80"/>
              <w:right w:type="dxa" w:w="110"/>
            </w:tcMar>
          </w:tcPr>
          <w:p>
            <w:pPr>
              <w:spacing w:after="0"/>
            </w:pPr>
            <w:r>
              <w:rPr>
                <w:b/>
                <w:bCs/>
                <w:color w:val="047857"/>
                <w:sz w:val="17"/>
                <w:szCs w:val="17"/>
              </w:rPr>
              <w:t xml:space="preserve">OQ-20</w:t>
            </w:r>
          </w:p>
        </w:tc>
        <w:tc>
          <w:tcPr>
            <w:tcW w:type="pct" w:w="66%"/>
            <w:tcMar>
              <w:top w:type="dxa" w:w="80"/>
              <w:left w:type="dxa" w:w="110"/>
              <w:bottom w:type="dxa" w:w="80"/>
              <w:right w:type="dxa" w:w="110"/>
            </w:tcMar>
          </w:tcPr>
          <w:p>
            <w:pPr>
              <w:spacing w:after="0"/>
            </w:pPr>
            <w:r>
              <w:rPr>
                <w:sz w:val="17"/>
                <w:szCs w:val="17"/>
              </w:rPr>
              <w:t xml:space="preserve">Cas de test automatisé exécuté par l'éditeur à chaque version, résultat en section 5.1.</w:t>
            </w:r>
          </w:p>
        </w:tc>
      </w:tr>
      <w:tr>
        <w:tc>
          <w:tcPr>
            <w:tcW w:type="pct" w:w="12%"/>
            <w:tcMar>
              <w:top w:type="dxa" w:w="80"/>
              <w:left w:type="dxa" w:w="110"/>
              <w:bottom w:type="dxa" w:w="80"/>
              <w:right w:type="dxa" w:w="110"/>
            </w:tcMar>
          </w:tcPr>
          <w:p>
            <w:pPr>
              <w:spacing w:after="0"/>
            </w:pPr>
            <w:r>
              <w:rPr>
                <w:b/>
                <w:bCs/>
                <w:color w:val="4338CA"/>
                <w:sz w:val="17"/>
                <w:szCs w:val="17"/>
              </w:rPr>
              <w:t xml:space="preserve">URS-25</w:t>
            </w:r>
          </w:p>
        </w:tc>
        <w:tc>
          <w:tcPr>
            <w:tcW w:type="pct" w:w="22%"/>
            <w:tcMar>
              <w:top w:type="dxa" w:w="80"/>
              <w:left w:type="dxa" w:w="110"/>
              <w:bottom w:type="dxa" w:w="80"/>
              <w:right w:type="dxa" w:w="110"/>
            </w:tcMar>
          </w:tcPr>
          <w:p>
            <w:pPr>
              <w:spacing w:after="0"/>
            </w:pPr>
            <w:r>
              <w:rPr>
                <w:b/>
                <w:bCs/>
                <w:color w:val="047857"/>
                <w:sz w:val="17"/>
                <w:szCs w:val="17"/>
              </w:rPr>
              <w:t xml:space="preserve">OQ-21</w:t>
            </w:r>
          </w:p>
        </w:tc>
        <w:tc>
          <w:tcPr>
            <w:tcW w:type="pct" w:w="66%"/>
            <w:tcMar>
              <w:top w:type="dxa" w:w="80"/>
              <w:left w:type="dxa" w:w="110"/>
              <w:bottom w:type="dxa" w:w="80"/>
              <w:right w:type="dxa" w:w="110"/>
            </w:tcMar>
          </w:tcPr>
          <w:p>
            <w:pPr>
              <w:spacing w:after="0"/>
            </w:pPr>
            <w:r>
              <w:rPr>
                <w:sz w:val="17"/>
                <w:szCs w:val="17"/>
              </w:rPr>
              <w:t xml:space="preserve">Cas de test automatisé exécuté par l'éditeur à chaque version, résultat en section 5.1.</w:t>
            </w:r>
          </w:p>
        </w:tc>
      </w:tr>
      <w:tr>
        <w:tc>
          <w:tcPr>
            <w:tcW w:type="pct" w:w="12%"/>
            <w:tcMar>
              <w:top w:type="dxa" w:w="80"/>
              <w:left w:type="dxa" w:w="110"/>
              <w:bottom w:type="dxa" w:w="80"/>
              <w:right w:type="dxa" w:w="110"/>
            </w:tcMar>
          </w:tcPr>
          <w:p>
            <w:pPr>
              <w:spacing w:after="0"/>
            </w:pPr>
            <w:r>
              <w:rPr>
                <w:b/>
                <w:bCs/>
                <w:color w:val="4338CA"/>
                <w:sz w:val="17"/>
                <w:szCs w:val="17"/>
              </w:rPr>
              <w:t xml:space="preserve">URS-26</w:t>
            </w:r>
          </w:p>
        </w:tc>
        <w:tc>
          <w:tcPr>
            <w:tcW w:type="pct" w:w="22%"/>
            <w:tcMar>
              <w:top w:type="dxa" w:w="80"/>
              <w:left w:type="dxa" w:w="110"/>
              <w:bottom w:type="dxa" w:w="80"/>
              <w:right w:type="dxa" w:w="110"/>
            </w:tcMar>
          </w:tcPr>
          <w:p>
            <w:pPr>
              <w:spacing w:after="0"/>
            </w:pPr>
            <w:r>
              <w:rPr>
                <w:b/>
                <w:bCs/>
                <w:color w:val="047857"/>
                <w:sz w:val="17"/>
                <w:szCs w:val="17"/>
              </w:rPr>
              <w:t xml:space="preserve">OQ-22</w:t>
            </w:r>
          </w:p>
        </w:tc>
        <w:tc>
          <w:tcPr>
            <w:tcW w:type="pct" w:w="66%"/>
            <w:tcMar>
              <w:top w:type="dxa" w:w="80"/>
              <w:left w:type="dxa" w:w="110"/>
              <w:bottom w:type="dxa" w:w="80"/>
              <w:right w:type="dxa" w:w="110"/>
            </w:tcMar>
          </w:tcPr>
          <w:p>
            <w:pPr>
              <w:spacing w:after="0"/>
            </w:pPr>
            <w:r>
              <w:rPr>
                <w:sz w:val="17"/>
                <w:szCs w:val="17"/>
              </w:rPr>
              <w:t xml:space="preserve">Cas de test automatisé exécuté par l'éditeur à chaque version, résultat en section 5.1.</w:t>
            </w:r>
          </w:p>
        </w:tc>
      </w:tr>
      <w:tr>
        <w:tc>
          <w:tcPr>
            <w:tcW w:type="pct" w:w="12%"/>
            <w:tcMar>
              <w:top w:type="dxa" w:w="80"/>
              <w:left w:type="dxa" w:w="110"/>
              <w:bottom w:type="dxa" w:w="80"/>
              <w:right w:type="dxa" w:w="110"/>
            </w:tcMar>
          </w:tcPr>
          <w:p>
            <w:pPr>
              <w:spacing w:after="0"/>
            </w:pPr>
            <w:r>
              <w:rPr>
                <w:b/>
                <w:bCs/>
                <w:color w:val="4338CA"/>
                <w:sz w:val="17"/>
                <w:szCs w:val="17"/>
              </w:rPr>
              <w:t xml:space="preserve">URS-27</w:t>
            </w:r>
          </w:p>
        </w:tc>
        <w:tc>
          <w:tcPr>
            <w:tcW w:type="pct" w:w="22%"/>
            <w:tcMar>
              <w:top w:type="dxa" w:w="80"/>
              <w:left w:type="dxa" w:w="110"/>
              <w:bottom w:type="dxa" w:w="80"/>
              <w:right w:type="dxa" w:w="110"/>
            </w:tcMar>
          </w:tcPr>
          <w:p>
            <w:pPr>
              <w:spacing w:after="0"/>
            </w:pPr>
            <w:r>
              <w:rPr>
                <w:b/>
                <w:bCs/>
                <w:color w:val="047857"/>
                <w:sz w:val="17"/>
                <w:szCs w:val="17"/>
              </w:rPr>
              <w:t xml:space="preserve">OQ-23</w:t>
            </w:r>
          </w:p>
        </w:tc>
        <w:tc>
          <w:tcPr>
            <w:tcW w:type="pct" w:w="66%"/>
            <w:tcMar>
              <w:top w:type="dxa" w:w="80"/>
              <w:left w:type="dxa" w:w="110"/>
              <w:bottom w:type="dxa" w:w="80"/>
              <w:right w:type="dxa" w:w="110"/>
            </w:tcMar>
          </w:tcPr>
          <w:p>
            <w:pPr>
              <w:spacing w:after="0"/>
            </w:pPr>
            <w:r>
              <w:rPr>
                <w:sz w:val="17"/>
                <w:szCs w:val="17"/>
              </w:rPr>
              <w:t xml:space="preserve">Cas de test automatisé exécuté par l'éditeur à chaque version, résultat en section 5.1.</w:t>
            </w:r>
          </w:p>
        </w:tc>
      </w:tr>
      <w:tr>
        <w:tc>
          <w:tcPr>
            <w:tcW w:type="pct" w:w="12%"/>
            <w:tcMar>
              <w:top w:type="dxa" w:w="80"/>
              <w:left w:type="dxa" w:w="110"/>
              <w:bottom w:type="dxa" w:w="80"/>
              <w:right w:type="dxa" w:w="110"/>
            </w:tcMar>
          </w:tcPr>
          <w:p>
            <w:pPr>
              <w:spacing w:after="0"/>
            </w:pPr>
            <w:r>
              <w:rPr>
                <w:b/>
                <w:bCs/>
                <w:color w:val="4338CA"/>
                <w:sz w:val="17"/>
                <w:szCs w:val="17"/>
              </w:rPr>
              <w:t xml:space="preserve">URS-28</w:t>
            </w:r>
          </w:p>
        </w:tc>
        <w:tc>
          <w:tcPr>
            <w:tcW w:type="pct" w:w="22%"/>
            <w:tcMar>
              <w:top w:type="dxa" w:w="80"/>
              <w:left w:type="dxa" w:w="110"/>
              <w:bottom w:type="dxa" w:w="80"/>
              <w:right w:type="dxa" w:w="110"/>
            </w:tcMar>
          </w:tcPr>
          <w:p>
            <w:pPr>
              <w:spacing w:after="0"/>
            </w:pPr>
            <w:r>
              <w:rPr>
                <w:b/>
                <w:bCs/>
                <w:color w:val="047857"/>
                <w:sz w:val="17"/>
                <w:szCs w:val="17"/>
              </w:rPr>
              <w:t xml:space="preserve">OQ-24</w:t>
            </w:r>
          </w:p>
        </w:tc>
        <w:tc>
          <w:tcPr>
            <w:tcW w:type="pct" w:w="66%"/>
            <w:tcMar>
              <w:top w:type="dxa" w:w="80"/>
              <w:left w:type="dxa" w:w="110"/>
              <w:bottom w:type="dxa" w:w="80"/>
              <w:right w:type="dxa" w:w="110"/>
            </w:tcMar>
          </w:tcPr>
          <w:p>
            <w:pPr>
              <w:spacing w:after="0"/>
            </w:pPr>
            <w:r>
              <w:rPr>
                <w:sz w:val="17"/>
                <w:szCs w:val="17"/>
              </w:rPr>
              <w:t xml:space="preserve">Cas de test automatisé exécuté par l'éditeur à chaque version, résultat en section 5.1.</w:t>
            </w:r>
          </w:p>
        </w:tc>
      </w:tr>
      <w:tr>
        <w:tc>
          <w:tcPr>
            <w:tcW w:type="pct" w:w="12%"/>
            <w:tcMar>
              <w:top w:type="dxa" w:w="80"/>
              <w:left w:type="dxa" w:w="110"/>
              <w:bottom w:type="dxa" w:w="80"/>
              <w:right w:type="dxa" w:w="110"/>
            </w:tcMar>
          </w:tcPr>
          <w:p>
            <w:pPr>
              <w:spacing w:after="0"/>
            </w:pPr>
            <w:r>
              <w:rPr>
                <w:b/>
                <w:bCs/>
                <w:color w:val="4338CA"/>
                <w:sz w:val="17"/>
                <w:szCs w:val="17"/>
              </w:rPr>
              <w:t xml:space="preserve">URS-29</w:t>
            </w:r>
          </w:p>
        </w:tc>
        <w:tc>
          <w:tcPr>
            <w:tcW w:type="pct" w:w="22%"/>
            <w:tcMar>
              <w:top w:type="dxa" w:w="80"/>
              <w:left w:type="dxa" w:w="110"/>
              <w:bottom w:type="dxa" w:w="80"/>
              <w:right w:type="dxa" w:w="110"/>
            </w:tcMar>
          </w:tcPr>
          <w:p>
            <w:pPr>
              <w:spacing w:after="0"/>
            </w:pPr>
            <w:r>
              <w:rPr>
                <w:b/>
                <w:bCs/>
                <w:color w:val="047857"/>
                <w:sz w:val="17"/>
                <w:szCs w:val="17"/>
              </w:rPr>
              <w:t xml:space="preserve">OQ-25</w:t>
            </w:r>
          </w:p>
        </w:tc>
        <w:tc>
          <w:tcPr>
            <w:tcW w:type="pct" w:w="66%"/>
            <w:tcMar>
              <w:top w:type="dxa" w:w="80"/>
              <w:left w:type="dxa" w:w="110"/>
              <w:bottom w:type="dxa" w:w="80"/>
              <w:right w:type="dxa" w:w="110"/>
            </w:tcMar>
          </w:tcPr>
          <w:p>
            <w:pPr>
              <w:spacing w:after="0"/>
            </w:pPr>
            <w:r>
              <w:rPr>
                <w:sz w:val="17"/>
                <w:szCs w:val="17"/>
              </w:rPr>
              <w:t xml:space="preserve">Cas de test automatisé exécuté par l'éditeur à chaque version, résultat en section 5.1.</w:t>
            </w:r>
          </w:p>
        </w:tc>
      </w:tr>
      <w:tr>
        <w:tc>
          <w:tcPr>
            <w:tcW w:type="pct" w:w="12%"/>
            <w:tcMar>
              <w:top w:type="dxa" w:w="80"/>
              <w:left w:type="dxa" w:w="110"/>
              <w:bottom w:type="dxa" w:w="80"/>
              <w:right w:type="dxa" w:w="110"/>
            </w:tcMar>
          </w:tcPr>
          <w:p>
            <w:pPr>
              <w:spacing w:after="0"/>
            </w:pPr>
            <w:r>
              <w:rPr>
                <w:b/>
                <w:bCs/>
                <w:color w:val="4338CA"/>
                <w:sz w:val="17"/>
                <w:szCs w:val="17"/>
              </w:rPr>
              <w:t xml:space="preserve">URS-30</w:t>
            </w:r>
          </w:p>
        </w:tc>
        <w:tc>
          <w:tcPr>
            <w:tcW w:type="pct" w:w="22%"/>
            <w:tcMar>
              <w:top w:type="dxa" w:w="80"/>
              <w:left w:type="dxa" w:w="110"/>
              <w:bottom w:type="dxa" w:w="80"/>
              <w:right w:type="dxa" w:w="110"/>
            </w:tcMar>
          </w:tcPr>
          <w:p>
            <w:pPr>
              <w:spacing w:after="0"/>
            </w:pPr>
            <w:r>
              <w:rPr>
                <w:b/>
                <w:bCs/>
                <w:color w:val="047857"/>
                <w:sz w:val="17"/>
                <w:szCs w:val="17"/>
              </w:rPr>
              <w:t xml:space="preserve">OQ-26</w:t>
            </w:r>
          </w:p>
        </w:tc>
        <w:tc>
          <w:tcPr>
            <w:tcW w:type="pct" w:w="66%"/>
            <w:tcMar>
              <w:top w:type="dxa" w:w="80"/>
              <w:left w:type="dxa" w:w="110"/>
              <w:bottom w:type="dxa" w:w="80"/>
              <w:right w:type="dxa" w:w="110"/>
            </w:tcMar>
          </w:tcPr>
          <w:p>
            <w:pPr>
              <w:spacing w:after="0"/>
            </w:pPr>
            <w:r>
              <w:rPr>
                <w:sz w:val="17"/>
                <w:szCs w:val="17"/>
              </w:rPr>
              <w:t xml:space="preserve">Cas de test automatisé exécuté par l'éditeur à chaque version, résultat en section 5.1.</w:t>
            </w:r>
          </w:p>
        </w:tc>
      </w:tr>
      <w:tr>
        <w:tc>
          <w:tcPr>
            <w:tcW w:type="pct" w:w="12%"/>
            <w:tcMar>
              <w:top w:type="dxa" w:w="80"/>
              <w:left w:type="dxa" w:w="110"/>
              <w:bottom w:type="dxa" w:w="80"/>
              <w:right w:type="dxa" w:w="110"/>
            </w:tcMar>
          </w:tcPr>
          <w:p>
            <w:pPr>
              <w:spacing w:after="0"/>
            </w:pPr>
            <w:r>
              <w:rPr>
                <w:b/>
                <w:bCs/>
                <w:color w:val="4338CA"/>
                <w:sz w:val="17"/>
                <w:szCs w:val="17"/>
              </w:rPr>
              <w:t xml:space="preserve">URS-31</w:t>
            </w:r>
          </w:p>
        </w:tc>
        <w:tc>
          <w:tcPr>
            <w:tcW w:type="pct" w:w="22%"/>
            <w:tcMar>
              <w:top w:type="dxa" w:w="80"/>
              <w:left w:type="dxa" w:w="110"/>
              <w:bottom w:type="dxa" w:w="80"/>
              <w:right w:type="dxa" w:w="110"/>
            </w:tcMar>
          </w:tcPr>
          <w:p>
            <w:pPr>
              <w:spacing w:after="0"/>
            </w:pPr>
            <w:r>
              <w:rPr>
                <w:b/>
                <w:bCs/>
                <w:color w:val="047857"/>
                <w:sz w:val="17"/>
                <w:szCs w:val="17"/>
              </w:rPr>
              <w:t xml:space="preserve">OQ-27, OQ-28</w:t>
            </w:r>
          </w:p>
        </w:tc>
        <w:tc>
          <w:tcPr>
            <w:tcW w:type="pct" w:w="66%"/>
            <w:tcMar>
              <w:top w:type="dxa" w:w="80"/>
              <w:left w:type="dxa" w:w="110"/>
              <w:bottom w:type="dxa" w:w="80"/>
              <w:right w:type="dxa" w:w="110"/>
            </w:tcMar>
          </w:tcPr>
          <w:p>
            <w:pPr>
              <w:spacing w:after="0"/>
            </w:pPr>
            <w:r>
              <w:rPr>
                <w:sz w:val="17"/>
                <w:szCs w:val="17"/>
              </w:rPr>
              <w:t xml:space="preserve">Cas de test automatisé exécuté par l'éditeur à chaque version, résultat en section 5.1.</w:t>
            </w:r>
          </w:p>
        </w:tc>
      </w:tr>
      <w:tr>
        <w:tc>
          <w:tcPr>
            <w:tcW w:type="pct" w:w="12%"/>
            <w:tcMar>
              <w:top w:type="dxa" w:w="80"/>
              <w:left w:type="dxa" w:w="110"/>
              <w:bottom w:type="dxa" w:w="80"/>
              <w:right w:type="dxa" w:w="110"/>
            </w:tcMar>
          </w:tcPr>
          <w:p>
            <w:pPr>
              <w:spacing w:after="0"/>
            </w:pPr>
            <w:r>
              <w:rPr>
                <w:b/>
                <w:bCs/>
                <w:color w:val="4338CA"/>
                <w:sz w:val="17"/>
                <w:szCs w:val="17"/>
              </w:rPr>
              <w:t xml:space="preserve">URS-32</w:t>
            </w:r>
          </w:p>
        </w:tc>
        <w:tc>
          <w:tcPr>
            <w:tcW w:type="pct" w:w="22%"/>
            <w:tcMar>
              <w:top w:type="dxa" w:w="80"/>
              <w:left w:type="dxa" w:w="110"/>
              <w:bottom w:type="dxa" w:w="80"/>
              <w:right w:type="dxa" w:w="110"/>
            </w:tcMar>
          </w:tcPr>
          <w:p>
            <w:pPr>
              <w:spacing w:after="0"/>
            </w:pPr>
            <w:r>
              <w:rPr>
                <w:b/>
                <w:bCs/>
                <w:color w:val="047857"/>
                <w:sz w:val="17"/>
                <w:szCs w:val="17"/>
              </w:rPr>
              <w:t xml:space="preserve">OQ-29</w:t>
            </w:r>
          </w:p>
        </w:tc>
        <w:tc>
          <w:tcPr>
            <w:tcW w:type="pct" w:w="66%"/>
            <w:tcMar>
              <w:top w:type="dxa" w:w="80"/>
              <w:left w:type="dxa" w:w="110"/>
              <w:bottom w:type="dxa" w:w="80"/>
              <w:right w:type="dxa" w:w="110"/>
            </w:tcMar>
          </w:tcPr>
          <w:p>
            <w:pPr>
              <w:spacing w:after="0"/>
            </w:pPr>
            <w:r>
              <w:rPr>
                <w:sz w:val="17"/>
                <w:szCs w:val="17"/>
              </w:rPr>
              <w:t xml:space="preserve">Cas de test automatisé exécuté par l'éditeur à chaque version, résultat en section 5.1.</w:t>
            </w:r>
          </w:p>
        </w:tc>
      </w:tr>
      <w:tr>
        <w:tc>
          <w:tcPr>
            <w:tcW w:type="pct" w:w="12%"/>
            <w:tcMar>
              <w:top w:type="dxa" w:w="80"/>
              <w:left w:type="dxa" w:w="110"/>
              <w:bottom w:type="dxa" w:w="80"/>
              <w:right w:type="dxa" w:w="110"/>
            </w:tcMar>
          </w:tcPr>
          <w:p>
            <w:pPr>
              <w:spacing w:after="0"/>
            </w:pPr>
            <w:r>
              <w:rPr>
                <w:b/>
                <w:bCs/>
                <w:color w:val="4338CA"/>
                <w:sz w:val="17"/>
                <w:szCs w:val="17"/>
              </w:rPr>
              <w:t xml:space="preserve">URS-33</w:t>
            </w:r>
          </w:p>
        </w:tc>
        <w:tc>
          <w:tcPr>
            <w:tcW w:type="pct" w:w="22%"/>
            <w:tcMar>
              <w:top w:type="dxa" w:w="80"/>
              <w:left w:type="dxa" w:w="110"/>
              <w:bottom w:type="dxa" w:w="80"/>
              <w:right w:type="dxa" w:w="110"/>
            </w:tcMar>
          </w:tcPr>
          <w:p>
            <w:pPr>
              <w:spacing w:after="0"/>
            </w:pPr>
            <w:r>
              <w:rPr>
                <w:b/>
                <w:bCs/>
                <w:color w:val="047857"/>
                <w:sz w:val="17"/>
                <w:szCs w:val="17"/>
              </w:rPr>
              <w:t xml:space="preserve">OQ-30</w:t>
            </w:r>
          </w:p>
        </w:tc>
        <w:tc>
          <w:tcPr>
            <w:tcW w:type="pct" w:w="66%"/>
            <w:tcMar>
              <w:top w:type="dxa" w:w="80"/>
              <w:left w:type="dxa" w:w="110"/>
              <w:bottom w:type="dxa" w:w="80"/>
              <w:right w:type="dxa" w:w="110"/>
            </w:tcMar>
          </w:tcPr>
          <w:p>
            <w:pPr>
              <w:spacing w:after="0"/>
            </w:pPr>
            <w:r>
              <w:rPr>
                <w:sz w:val="17"/>
                <w:szCs w:val="17"/>
              </w:rPr>
              <w:t xml:space="preserve">Cas de test automatisé exécuté par l'éditeur à chaque version, résultat en section 5.1.</w:t>
            </w:r>
          </w:p>
        </w:tc>
      </w:tr>
      <w:tr>
        <w:tc>
          <w:tcPr>
            <w:tcW w:type="pct" w:w="12%"/>
            <w:tcMar>
              <w:top w:type="dxa" w:w="80"/>
              <w:left w:type="dxa" w:w="110"/>
              <w:bottom w:type="dxa" w:w="80"/>
              <w:right w:type="dxa" w:w="110"/>
            </w:tcMar>
          </w:tcPr>
          <w:p>
            <w:pPr>
              <w:spacing w:after="0"/>
            </w:pPr>
            <w:r>
              <w:rPr>
                <w:b/>
                <w:bCs/>
                <w:color w:val="4338CA"/>
                <w:sz w:val="17"/>
                <w:szCs w:val="17"/>
              </w:rPr>
              <w:t xml:space="preserve">URS-34</w:t>
            </w:r>
          </w:p>
        </w:tc>
        <w:tc>
          <w:tcPr>
            <w:tcW w:type="pct" w:w="22%"/>
            <w:tcMar>
              <w:top w:type="dxa" w:w="80"/>
              <w:left w:type="dxa" w:w="110"/>
              <w:bottom w:type="dxa" w:w="80"/>
              <w:right w:type="dxa" w:w="110"/>
            </w:tcMar>
          </w:tcPr>
          <w:p>
            <w:pPr>
              <w:spacing w:after="0"/>
            </w:pPr>
            <w:r>
              <w:rPr>
                <w:b/>
                <w:bCs/>
                <w:color w:val="047857"/>
                <w:sz w:val="17"/>
                <w:szCs w:val="17"/>
              </w:rPr>
              <w:t xml:space="preserve">OQ-31</w:t>
            </w:r>
          </w:p>
        </w:tc>
        <w:tc>
          <w:tcPr>
            <w:tcW w:type="pct" w:w="66%"/>
            <w:tcMar>
              <w:top w:type="dxa" w:w="80"/>
              <w:left w:type="dxa" w:w="110"/>
              <w:bottom w:type="dxa" w:w="80"/>
              <w:right w:type="dxa" w:w="110"/>
            </w:tcMar>
          </w:tcPr>
          <w:p>
            <w:pPr>
              <w:spacing w:after="0"/>
            </w:pPr>
            <w:r>
              <w:rPr>
                <w:sz w:val="17"/>
                <w:szCs w:val="17"/>
              </w:rPr>
              <w:t xml:space="preserve">Cas de test automatisé exécuté par l'éditeur à chaque version, résultat en section 5.1.</w:t>
            </w:r>
          </w:p>
        </w:tc>
      </w:tr>
      <w:tr>
        <w:tc>
          <w:tcPr>
            <w:tcW w:type="pct" w:w="12%"/>
            <w:tcMar>
              <w:top w:type="dxa" w:w="80"/>
              <w:left w:type="dxa" w:w="110"/>
              <w:bottom w:type="dxa" w:w="80"/>
              <w:right w:type="dxa" w:w="110"/>
            </w:tcMar>
          </w:tcPr>
          <w:p>
            <w:pPr>
              <w:spacing w:after="0"/>
            </w:pPr>
            <w:r>
              <w:rPr>
                <w:b/>
                <w:bCs/>
                <w:color w:val="4338CA"/>
                <w:sz w:val="17"/>
                <w:szCs w:val="17"/>
              </w:rPr>
              <w:t xml:space="preserve">URS-35</w:t>
            </w:r>
          </w:p>
        </w:tc>
        <w:tc>
          <w:tcPr>
            <w:tcW w:type="pct" w:w="22%"/>
            <w:tcMar>
              <w:top w:type="dxa" w:w="80"/>
              <w:left w:type="dxa" w:w="110"/>
              <w:bottom w:type="dxa" w:w="80"/>
              <w:right w:type="dxa" w:w="110"/>
            </w:tcMar>
          </w:tcPr>
          <w:p>
            <w:pPr>
              <w:spacing w:after="0"/>
            </w:pPr>
            <w:r>
              <w:rPr>
                <w:b/>
                <w:bCs/>
                <w:color w:val="047857"/>
                <w:sz w:val="17"/>
                <w:szCs w:val="17"/>
              </w:rPr>
              <w:t xml:space="preserve">OQ-32</w:t>
            </w:r>
          </w:p>
        </w:tc>
        <w:tc>
          <w:tcPr>
            <w:tcW w:type="pct" w:w="66%"/>
            <w:tcMar>
              <w:top w:type="dxa" w:w="80"/>
              <w:left w:type="dxa" w:w="110"/>
              <w:bottom w:type="dxa" w:w="80"/>
              <w:right w:type="dxa" w:w="110"/>
            </w:tcMar>
          </w:tcPr>
          <w:p>
            <w:pPr>
              <w:spacing w:after="0"/>
            </w:pPr>
            <w:r>
              <w:rPr>
                <w:sz w:val="17"/>
                <w:szCs w:val="17"/>
              </w:rPr>
              <w:t xml:space="preserve">Cas de test automatisé exécuté par l'éditeur à chaque version, résultat en section 5.1.</w:t>
            </w:r>
          </w:p>
        </w:tc>
      </w:tr>
      <w:tr>
        <w:tc>
          <w:tcPr>
            <w:tcW w:type="pct" w:w="12%"/>
            <w:tcMar>
              <w:top w:type="dxa" w:w="80"/>
              <w:left w:type="dxa" w:w="110"/>
              <w:bottom w:type="dxa" w:w="80"/>
              <w:right w:type="dxa" w:w="110"/>
            </w:tcMar>
          </w:tcPr>
          <w:p>
            <w:pPr>
              <w:spacing w:after="0"/>
            </w:pPr>
            <w:r>
              <w:rPr>
                <w:b/>
                <w:bCs/>
                <w:color w:val="4338CA"/>
                <w:sz w:val="17"/>
                <w:szCs w:val="17"/>
              </w:rPr>
              <w:t xml:space="preserve">URS-36</w:t>
            </w:r>
          </w:p>
        </w:tc>
        <w:tc>
          <w:tcPr>
            <w:tcW w:type="pct" w:w="22%"/>
            <w:tcMar>
              <w:top w:type="dxa" w:w="80"/>
              <w:left w:type="dxa" w:w="110"/>
              <w:bottom w:type="dxa" w:w="80"/>
              <w:right w:type="dxa" w:w="110"/>
            </w:tcMar>
          </w:tcPr>
          <w:p>
            <w:pPr>
              <w:spacing w:after="0"/>
            </w:pPr>
            <w:r>
              <w:rPr>
                <w:b/>
                <w:bCs/>
                <w:color w:val="047857"/>
                <w:sz w:val="17"/>
                <w:szCs w:val="17"/>
              </w:rPr>
              <w:t xml:space="preserve">OQ-33</w:t>
            </w:r>
          </w:p>
        </w:tc>
        <w:tc>
          <w:tcPr>
            <w:tcW w:type="pct" w:w="66%"/>
            <w:tcMar>
              <w:top w:type="dxa" w:w="80"/>
              <w:left w:type="dxa" w:w="110"/>
              <w:bottom w:type="dxa" w:w="80"/>
              <w:right w:type="dxa" w:w="110"/>
            </w:tcMar>
          </w:tcPr>
          <w:p>
            <w:pPr>
              <w:spacing w:after="0"/>
            </w:pPr>
            <w:r>
              <w:rPr>
                <w:sz w:val="17"/>
                <w:szCs w:val="17"/>
              </w:rPr>
              <w:t xml:space="preserve">Cas de test automatisé exécuté par l'éditeur à chaque version, résultat en section 5.1.</w:t>
            </w:r>
          </w:p>
        </w:tc>
      </w:tr>
      <w:tr>
        <w:tc>
          <w:tcPr>
            <w:tcW w:type="pct" w:w="12%"/>
            <w:tcMar>
              <w:top w:type="dxa" w:w="80"/>
              <w:left w:type="dxa" w:w="110"/>
              <w:bottom w:type="dxa" w:w="80"/>
              <w:right w:type="dxa" w:w="110"/>
            </w:tcMar>
          </w:tcPr>
          <w:p>
            <w:pPr>
              <w:spacing w:after="0"/>
            </w:pPr>
            <w:r>
              <w:rPr>
                <w:b/>
                <w:bCs/>
                <w:color w:val="4338CA"/>
                <w:sz w:val="17"/>
                <w:szCs w:val="17"/>
              </w:rPr>
              <w:t xml:space="preserve">URS-37</w:t>
            </w:r>
          </w:p>
        </w:tc>
        <w:tc>
          <w:tcPr>
            <w:tcW w:type="pct" w:w="22%"/>
            <w:tcMar>
              <w:top w:type="dxa" w:w="80"/>
              <w:left w:type="dxa" w:w="110"/>
              <w:bottom w:type="dxa" w:w="80"/>
              <w:right w:type="dxa" w:w="110"/>
            </w:tcMar>
          </w:tcPr>
          <w:p>
            <w:pPr>
              <w:spacing w:after="0"/>
            </w:pPr>
            <w:r>
              <w:rPr>
                <w:b/>
                <w:bCs/>
                <w:color w:val="047857"/>
                <w:sz w:val="17"/>
                <w:szCs w:val="17"/>
              </w:rPr>
              <w:t xml:space="preserve">OQ-34</w:t>
            </w:r>
          </w:p>
        </w:tc>
        <w:tc>
          <w:tcPr>
            <w:tcW w:type="pct" w:w="66%"/>
            <w:tcMar>
              <w:top w:type="dxa" w:w="80"/>
              <w:left w:type="dxa" w:w="110"/>
              <w:bottom w:type="dxa" w:w="80"/>
              <w:right w:type="dxa" w:w="110"/>
            </w:tcMar>
          </w:tcPr>
          <w:p>
            <w:pPr>
              <w:spacing w:after="0"/>
            </w:pPr>
            <w:r>
              <w:rPr>
                <w:sz w:val="17"/>
                <w:szCs w:val="17"/>
              </w:rPr>
              <w:t xml:space="preserve">Cas de test automatisé exécuté par l'éditeur à chaque version, résultat en section 5.1.</w:t>
            </w:r>
          </w:p>
        </w:tc>
      </w:tr>
      <w:tr>
        <w:tc>
          <w:tcPr>
            <w:tcW w:type="pct" w:w="12%"/>
            <w:tcMar>
              <w:top w:type="dxa" w:w="80"/>
              <w:left w:type="dxa" w:w="110"/>
              <w:bottom w:type="dxa" w:w="80"/>
              <w:right w:type="dxa" w:w="110"/>
            </w:tcMar>
          </w:tcPr>
          <w:p>
            <w:pPr>
              <w:spacing w:after="0"/>
            </w:pPr>
            <w:r>
              <w:rPr>
                <w:b/>
                <w:bCs/>
                <w:color w:val="4338CA"/>
                <w:sz w:val="17"/>
                <w:szCs w:val="17"/>
              </w:rPr>
              <w:t xml:space="preserve">URS-38</w:t>
            </w:r>
          </w:p>
        </w:tc>
        <w:tc>
          <w:tcPr>
            <w:tcW w:type="pct" w:w="22%"/>
            <w:tcMar>
              <w:top w:type="dxa" w:w="80"/>
              <w:left w:type="dxa" w:w="110"/>
              <w:bottom w:type="dxa" w:w="80"/>
              <w:right w:type="dxa" w:w="110"/>
            </w:tcMar>
          </w:tcPr>
          <w:p>
            <w:pPr>
              <w:spacing w:after="0"/>
            </w:pPr>
            <w:r>
              <w:rPr>
                <w:b/>
                <w:bCs/>
                <w:color w:val="047857"/>
                <w:sz w:val="17"/>
                <w:szCs w:val="17"/>
              </w:rPr>
              <w:t xml:space="preserve">OQ-35</w:t>
            </w:r>
          </w:p>
        </w:tc>
        <w:tc>
          <w:tcPr>
            <w:tcW w:type="pct" w:w="66%"/>
            <w:tcMar>
              <w:top w:type="dxa" w:w="80"/>
              <w:left w:type="dxa" w:w="110"/>
              <w:bottom w:type="dxa" w:w="80"/>
              <w:right w:type="dxa" w:w="110"/>
            </w:tcMar>
          </w:tcPr>
          <w:p>
            <w:pPr>
              <w:spacing w:after="0"/>
            </w:pPr>
            <w:r>
              <w:rPr>
                <w:sz w:val="17"/>
                <w:szCs w:val="17"/>
              </w:rPr>
              <w:t xml:space="preserve">Cas de test automatisé exécuté par l'éditeur à chaque version, résultat en section 5.1.</w:t>
            </w:r>
          </w:p>
        </w:tc>
      </w:tr>
      <w:tr>
        <w:tc>
          <w:tcPr>
            <w:tcW w:type="pct" w:w="12%"/>
            <w:tcMar>
              <w:top w:type="dxa" w:w="80"/>
              <w:left w:type="dxa" w:w="110"/>
              <w:bottom w:type="dxa" w:w="80"/>
              <w:right w:type="dxa" w:w="110"/>
            </w:tcMar>
          </w:tcPr>
          <w:p>
            <w:pPr>
              <w:spacing w:after="0"/>
            </w:pPr>
            <w:r>
              <w:rPr>
                <w:b/>
                <w:bCs/>
                <w:color w:val="4338CA"/>
                <w:sz w:val="17"/>
                <w:szCs w:val="17"/>
              </w:rPr>
              <w:t xml:space="preserve">URS-39</w:t>
            </w:r>
          </w:p>
        </w:tc>
        <w:tc>
          <w:tcPr>
            <w:tcW w:type="pct" w:w="22%"/>
            <w:tcMar>
              <w:top w:type="dxa" w:w="80"/>
              <w:left w:type="dxa" w:w="110"/>
              <w:bottom w:type="dxa" w:w="80"/>
              <w:right w:type="dxa" w:w="110"/>
            </w:tcMar>
          </w:tcPr>
          <w:p>
            <w:pPr>
              <w:spacing w:after="0"/>
            </w:pPr>
            <w:r>
              <w:rPr>
                <w:b/>
                <w:bCs/>
                <w:color w:val="047857"/>
                <w:sz w:val="17"/>
                <w:szCs w:val="17"/>
              </w:rPr>
              <w:t xml:space="preserve">OQ-36</w:t>
            </w:r>
          </w:p>
        </w:tc>
        <w:tc>
          <w:tcPr>
            <w:tcW w:type="pct" w:w="66%"/>
            <w:tcMar>
              <w:top w:type="dxa" w:w="80"/>
              <w:left w:type="dxa" w:w="110"/>
              <w:bottom w:type="dxa" w:w="80"/>
              <w:right w:type="dxa" w:w="110"/>
            </w:tcMar>
          </w:tcPr>
          <w:p>
            <w:pPr>
              <w:spacing w:after="0"/>
            </w:pPr>
            <w:r>
              <w:rPr>
                <w:sz w:val="17"/>
                <w:szCs w:val="17"/>
              </w:rPr>
              <w:t xml:space="preserve">Cas de test automatisé exécuté par l'éditeur à chaque version, résultat en section 5.1.</w:t>
            </w:r>
          </w:p>
        </w:tc>
      </w:tr>
      <w:tr>
        <w:tc>
          <w:tcPr>
            <w:tcW w:type="pct" w:w="12%"/>
            <w:tcMar>
              <w:top w:type="dxa" w:w="80"/>
              <w:left w:type="dxa" w:w="110"/>
              <w:bottom w:type="dxa" w:w="80"/>
              <w:right w:type="dxa" w:w="110"/>
            </w:tcMar>
          </w:tcPr>
          <w:p>
            <w:pPr>
              <w:spacing w:after="0"/>
            </w:pPr>
            <w:r>
              <w:rPr>
                <w:b/>
                <w:bCs/>
                <w:color w:val="4338CA"/>
                <w:sz w:val="17"/>
                <w:szCs w:val="17"/>
              </w:rPr>
              <w:t xml:space="preserve">URS-40</w:t>
            </w:r>
          </w:p>
        </w:tc>
        <w:tc>
          <w:tcPr>
            <w:tcW w:type="pct" w:w="22%"/>
            <w:tcMar>
              <w:top w:type="dxa" w:w="80"/>
              <w:left w:type="dxa" w:w="110"/>
              <w:bottom w:type="dxa" w:w="80"/>
              <w:right w:type="dxa" w:w="110"/>
            </w:tcMar>
          </w:tcPr>
          <w:p>
            <w:pPr>
              <w:spacing w:after="0"/>
            </w:pPr>
            <w:r>
              <w:rPr>
                <w:b/>
                <w:bCs/>
                <w:color w:val="047857"/>
                <w:sz w:val="17"/>
                <w:szCs w:val="17"/>
              </w:rPr>
              <w:t xml:space="preserve">OQ-37</w:t>
            </w:r>
          </w:p>
        </w:tc>
        <w:tc>
          <w:tcPr>
            <w:tcW w:type="pct" w:w="66%"/>
            <w:tcMar>
              <w:top w:type="dxa" w:w="80"/>
              <w:left w:type="dxa" w:w="110"/>
              <w:bottom w:type="dxa" w:w="80"/>
              <w:right w:type="dxa" w:w="110"/>
            </w:tcMar>
          </w:tcPr>
          <w:p>
            <w:pPr>
              <w:spacing w:after="0"/>
            </w:pPr>
            <w:r>
              <w:rPr>
                <w:sz w:val="17"/>
                <w:szCs w:val="17"/>
              </w:rPr>
              <w:t xml:space="preserve">Cas de test automatisé exécuté par l'éditeur à chaque version, résultat en section 5.1.</w:t>
            </w:r>
          </w:p>
        </w:tc>
      </w:tr>
      <w:tr>
        <w:tc>
          <w:tcPr>
            <w:tcW w:type="pct" w:w="12%"/>
            <w:tcMar>
              <w:top w:type="dxa" w:w="80"/>
              <w:left w:type="dxa" w:w="110"/>
              <w:bottom w:type="dxa" w:w="80"/>
              <w:right w:type="dxa" w:w="110"/>
            </w:tcMar>
          </w:tcPr>
          <w:p>
            <w:pPr>
              <w:spacing w:after="0"/>
            </w:pPr>
            <w:r>
              <w:rPr>
                <w:b/>
                <w:bCs/>
                <w:color w:val="4338CA"/>
                <w:sz w:val="17"/>
                <w:szCs w:val="17"/>
              </w:rPr>
              <w:t xml:space="preserve">URS-41</w:t>
            </w:r>
          </w:p>
        </w:tc>
        <w:tc>
          <w:tcPr>
            <w:tcW w:type="pct" w:w="22%"/>
            <w:tcMar>
              <w:top w:type="dxa" w:w="80"/>
              <w:left w:type="dxa" w:w="110"/>
              <w:bottom w:type="dxa" w:w="80"/>
              <w:right w:type="dxa" w:w="110"/>
            </w:tcMar>
          </w:tcPr>
          <w:p>
            <w:pPr>
              <w:spacing w:after="0"/>
            </w:pPr>
            <w:r>
              <w:rPr>
                <w:b/>
                <w:bCs/>
                <w:color w:val="047857"/>
                <w:sz w:val="17"/>
                <w:szCs w:val="17"/>
              </w:rPr>
              <w:t xml:space="preserve">OQ-38</w:t>
            </w:r>
          </w:p>
        </w:tc>
        <w:tc>
          <w:tcPr>
            <w:tcW w:type="pct" w:w="66%"/>
            <w:tcMar>
              <w:top w:type="dxa" w:w="80"/>
              <w:left w:type="dxa" w:w="110"/>
              <w:bottom w:type="dxa" w:w="80"/>
              <w:right w:type="dxa" w:w="110"/>
            </w:tcMar>
          </w:tcPr>
          <w:p>
            <w:pPr>
              <w:spacing w:after="0"/>
            </w:pPr>
            <w:r>
              <w:rPr>
                <w:sz w:val="17"/>
                <w:szCs w:val="17"/>
              </w:rPr>
              <w:t xml:space="preserve">Cas de test automatisé exécuté par l'éditeur à chaque version, résultat en section 5.1.</w:t>
            </w:r>
          </w:p>
        </w:tc>
      </w:tr>
      <w:tr>
        <w:tc>
          <w:tcPr>
            <w:tcW w:type="pct" w:w="12%"/>
            <w:tcMar>
              <w:top w:type="dxa" w:w="80"/>
              <w:left w:type="dxa" w:w="110"/>
              <w:bottom w:type="dxa" w:w="80"/>
              <w:right w:type="dxa" w:w="110"/>
            </w:tcMar>
          </w:tcPr>
          <w:p>
            <w:pPr>
              <w:spacing w:after="0"/>
            </w:pPr>
            <w:r>
              <w:rPr>
                <w:b/>
                <w:bCs/>
                <w:color w:val="4338CA"/>
                <w:sz w:val="17"/>
                <w:szCs w:val="17"/>
              </w:rPr>
              <w:t xml:space="preserve">URS-42</w:t>
            </w:r>
          </w:p>
        </w:tc>
        <w:tc>
          <w:tcPr>
            <w:tcW w:type="pct" w:w="22%"/>
            <w:tcMar>
              <w:top w:type="dxa" w:w="80"/>
              <w:left w:type="dxa" w:w="110"/>
              <w:bottom w:type="dxa" w:w="80"/>
              <w:right w:type="dxa" w:w="110"/>
            </w:tcMar>
          </w:tcPr>
          <w:p>
            <w:pPr>
              <w:spacing w:after="0"/>
            </w:pPr>
            <w:r>
              <w:rPr>
                <w:b/>
                <w:bCs/>
                <w:color w:val="047857"/>
                <w:sz w:val="17"/>
                <w:szCs w:val="17"/>
              </w:rPr>
              <w:t xml:space="preserve">OQ-39</w:t>
            </w:r>
          </w:p>
        </w:tc>
        <w:tc>
          <w:tcPr>
            <w:tcW w:type="pct" w:w="66%"/>
            <w:tcMar>
              <w:top w:type="dxa" w:w="80"/>
              <w:left w:type="dxa" w:w="110"/>
              <w:bottom w:type="dxa" w:w="80"/>
              <w:right w:type="dxa" w:w="110"/>
            </w:tcMar>
          </w:tcPr>
          <w:p>
            <w:pPr>
              <w:spacing w:after="0"/>
            </w:pPr>
            <w:r>
              <w:rPr>
                <w:sz w:val="17"/>
                <w:szCs w:val="17"/>
              </w:rPr>
              <w:t xml:space="preserve">Cas de test automatisé exécuté par l'éditeur à chaque version, résultat en section 5.1.</w:t>
            </w:r>
          </w:p>
        </w:tc>
      </w:tr>
      <w:tr>
        <w:tc>
          <w:tcPr>
            <w:tcW w:type="pct" w:w="12%"/>
            <w:tcMar>
              <w:top w:type="dxa" w:w="80"/>
              <w:left w:type="dxa" w:w="110"/>
              <w:bottom w:type="dxa" w:w="80"/>
              <w:right w:type="dxa" w:w="110"/>
            </w:tcMar>
          </w:tcPr>
          <w:p>
            <w:pPr>
              <w:spacing w:after="0"/>
            </w:pPr>
            <w:r>
              <w:rPr>
                <w:b/>
                <w:bCs/>
                <w:color w:val="4338CA"/>
                <w:sz w:val="17"/>
                <w:szCs w:val="17"/>
              </w:rPr>
              <w:t xml:space="preserve">URS-43</w:t>
            </w:r>
          </w:p>
        </w:tc>
        <w:tc>
          <w:tcPr>
            <w:tcW w:type="pct" w:w="22%"/>
            <w:tcMar>
              <w:top w:type="dxa" w:w="80"/>
              <w:left w:type="dxa" w:w="110"/>
              <w:bottom w:type="dxa" w:w="80"/>
              <w:right w:type="dxa" w:w="110"/>
            </w:tcMar>
          </w:tcPr>
          <w:p>
            <w:pPr>
              <w:spacing w:after="0"/>
            </w:pPr>
            <w:r>
              <w:rPr>
                <w:b/>
                <w:bCs/>
                <w:color w:val="047857"/>
                <w:sz w:val="17"/>
                <w:szCs w:val="17"/>
              </w:rPr>
              <w:t xml:space="preserve">OQ-40</w:t>
            </w:r>
          </w:p>
        </w:tc>
        <w:tc>
          <w:tcPr>
            <w:tcW w:type="pct" w:w="66%"/>
            <w:tcMar>
              <w:top w:type="dxa" w:w="80"/>
              <w:left w:type="dxa" w:w="110"/>
              <w:bottom w:type="dxa" w:w="80"/>
              <w:right w:type="dxa" w:w="110"/>
            </w:tcMar>
          </w:tcPr>
          <w:p>
            <w:pPr>
              <w:spacing w:after="0"/>
            </w:pPr>
            <w:r>
              <w:rPr>
                <w:sz w:val="17"/>
                <w:szCs w:val="17"/>
              </w:rPr>
              <w:t xml:space="preserve">Cas de test automatisé exécuté par l'éditeur à chaque version, résultat en section 5.1.</w:t>
            </w:r>
          </w:p>
        </w:tc>
      </w:tr>
      <w:tr>
        <w:tc>
          <w:tcPr>
            <w:tcW w:type="pct" w:w="12%"/>
            <w:tcMar>
              <w:top w:type="dxa" w:w="80"/>
              <w:left w:type="dxa" w:w="110"/>
              <w:bottom w:type="dxa" w:w="80"/>
              <w:right w:type="dxa" w:w="110"/>
            </w:tcMar>
          </w:tcPr>
          <w:p>
            <w:pPr>
              <w:spacing w:after="0"/>
            </w:pPr>
            <w:r>
              <w:rPr>
                <w:b/>
                <w:bCs/>
                <w:color w:val="4338CA"/>
                <w:sz w:val="17"/>
                <w:szCs w:val="17"/>
              </w:rPr>
              <w:t xml:space="preserve">URS-44</w:t>
            </w:r>
          </w:p>
        </w:tc>
        <w:tc>
          <w:tcPr>
            <w:tcW w:type="pct" w:w="22%"/>
            <w:tcMar>
              <w:top w:type="dxa" w:w="80"/>
              <w:left w:type="dxa" w:w="110"/>
              <w:bottom w:type="dxa" w:w="80"/>
              <w:right w:type="dxa" w:w="110"/>
            </w:tcMar>
          </w:tcPr>
          <w:p>
            <w:pPr>
              <w:spacing w:after="0"/>
            </w:pPr>
            <w:r>
              <w:rPr>
                <w:b/>
                <w:bCs/>
                <w:color w:val="047857"/>
                <w:sz w:val="17"/>
                <w:szCs w:val="17"/>
              </w:rPr>
              <w:t xml:space="preserve">OQ-41</w:t>
            </w:r>
          </w:p>
        </w:tc>
        <w:tc>
          <w:tcPr>
            <w:tcW w:type="pct" w:w="66%"/>
            <w:tcMar>
              <w:top w:type="dxa" w:w="80"/>
              <w:left w:type="dxa" w:w="110"/>
              <w:bottom w:type="dxa" w:w="80"/>
              <w:right w:type="dxa" w:w="110"/>
            </w:tcMar>
          </w:tcPr>
          <w:p>
            <w:pPr>
              <w:spacing w:after="0"/>
            </w:pPr>
            <w:r>
              <w:rPr>
                <w:sz w:val="17"/>
                <w:szCs w:val="17"/>
              </w:rPr>
              <w:t xml:space="preserve">Cas de test automatisé exécuté par l'éditeur à chaque version, résultat en section 5.1.</w:t>
            </w:r>
          </w:p>
        </w:tc>
      </w:tr>
      <w:tr>
        <w:tc>
          <w:tcPr>
            <w:tcW w:type="pct" w:w="12%"/>
            <w:tcMar>
              <w:top w:type="dxa" w:w="80"/>
              <w:left w:type="dxa" w:w="110"/>
              <w:bottom w:type="dxa" w:w="80"/>
              <w:right w:type="dxa" w:w="110"/>
            </w:tcMar>
          </w:tcPr>
          <w:p>
            <w:pPr>
              <w:spacing w:after="0"/>
            </w:pPr>
            <w:r>
              <w:rPr>
                <w:b/>
                <w:bCs/>
                <w:color w:val="4338CA"/>
                <w:sz w:val="17"/>
                <w:szCs w:val="17"/>
              </w:rPr>
              <w:t xml:space="preserve">URS-45</w:t>
            </w:r>
          </w:p>
        </w:tc>
        <w:tc>
          <w:tcPr>
            <w:tcW w:type="pct" w:w="22%"/>
            <w:tcMar>
              <w:top w:type="dxa" w:w="80"/>
              <w:left w:type="dxa" w:w="110"/>
              <w:bottom w:type="dxa" w:w="80"/>
              <w:right w:type="dxa" w:w="110"/>
            </w:tcMar>
          </w:tcPr>
          <w:p>
            <w:pPr>
              <w:spacing w:after="0"/>
            </w:pPr>
            <w:r>
              <w:rPr>
                <w:b/>
                <w:bCs/>
                <w:color w:val="047857"/>
                <w:sz w:val="17"/>
                <w:szCs w:val="17"/>
              </w:rPr>
              <w:t xml:space="preserve">OQ-42</w:t>
            </w:r>
          </w:p>
        </w:tc>
        <w:tc>
          <w:tcPr>
            <w:tcW w:type="pct" w:w="66%"/>
            <w:tcMar>
              <w:top w:type="dxa" w:w="80"/>
              <w:left w:type="dxa" w:w="110"/>
              <w:bottom w:type="dxa" w:w="80"/>
              <w:right w:type="dxa" w:w="110"/>
            </w:tcMar>
          </w:tcPr>
          <w:p>
            <w:pPr>
              <w:spacing w:after="0"/>
            </w:pPr>
            <w:r>
              <w:rPr>
                <w:sz w:val="17"/>
                <w:szCs w:val="17"/>
              </w:rPr>
              <w:t xml:space="preserve">Cas de test automatisé exécuté par l'éditeur à chaque version, résultat en section 5.1.</w:t>
            </w:r>
          </w:p>
        </w:tc>
      </w:tr>
      <w:tr>
        <w:tc>
          <w:tcPr>
            <w:tcW w:type="pct" w:w="12%"/>
            <w:tcMar>
              <w:top w:type="dxa" w:w="80"/>
              <w:left w:type="dxa" w:w="110"/>
              <w:bottom w:type="dxa" w:w="80"/>
              <w:right w:type="dxa" w:w="110"/>
            </w:tcMar>
          </w:tcPr>
          <w:p>
            <w:pPr>
              <w:spacing w:after="0"/>
            </w:pPr>
            <w:r>
              <w:rPr>
                <w:b/>
                <w:bCs/>
                <w:color w:val="4338CA"/>
                <w:sz w:val="17"/>
                <w:szCs w:val="17"/>
              </w:rPr>
              <w:t xml:space="preserve">URS-46</w:t>
            </w:r>
          </w:p>
        </w:tc>
        <w:tc>
          <w:tcPr>
            <w:tcW w:type="pct" w:w="22%"/>
            <w:tcMar>
              <w:top w:type="dxa" w:w="80"/>
              <w:left w:type="dxa" w:w="110"/>
              <w:bottom w:type="dxa" w:w="80"/>
              <w:right w:type="dxa" w:w="110"/>
            </w:tcMar>
          </w:tcPr>
          <w:p>
            <w:pPr>
              <w:spacing w:after="0"/>
            </w:pPr>
            <w:r>
              <w:rPr>
                <w:b/>
                <w:bCs/>
                <w:color w:val="047857"/>
                <w:sz w:val="17"/>
                <w:szCs w:val="17"/>
              </w:rPr>
              <w:t xml:space="preserve">OQ-43</w:t>
            </w:r>
          </w:p>
        </w:tc>
        <w:tc>
          <w:tcPr>
            <w:tcW w:type="pct" w:w="66%"/>
            <w:tcMar>
              <w:top w:type="dxa" w:w="80"/>
              <w:left w:type="dxa" w:w="110"/>
              <w:bottom w:type="dxa" w:w="80"/>
              <w:right w:type="dxa" w:w="110"/>
            </w:tcMar>
          </w:tcPr>
          <w:p>
            <w:pPr>
              <w:spacing w:after="0"/>
            </w:pPr>
            <w:r>
              <w:rPr>
                <w:sz w:val="17"/>
                <w:szCs w:val="17"/>
              </w:rPr>
              <w:t xml:space="preserve">Cas de test automatisé exécuté par l'éditeur à chaque version, résultat en section 5.1.</w:t>
            </w:r>
          </w:p>
        </w:tc>
      </w:tr>
      <w:tr>
        <w:tc>
          <w:tcPr>
            <w:tcW w:type="pct" w:w="12%"/>
            <w:tcMar>
              <w:top w:type="dxa" w:w="80"/>
              <w:left w:type="dxa" w:w="110"/>
              <w:bottom w:type="dxa" w:w="80"/>
              <w:right w:type="dxa" w:w="110"/>
            </w:tcMar>
          </w:tcPr>
          <w:p>
            <w:pPr>
              <w:spacing w:after="0"/>
            </w:pPr>
            <w:r>
              <w:rPr>
                <w:b/>
                <w:bCs/>
                <w:color w:val="4338CA"/>
                <w:sz w:val="17"/>
                <w:szCs w:val="17"/>
              </w:rPr>
              <w:t xml:space="preserve">URS-47</w:t>
            </w:r>
          </w:p>
        </w:tc>
        <w:tc>
          <w:tcPr>
            <w:tcW w:type="pct" w:w="22%"/>
            <w:tcMar>
              <w:top w:type="dxa" w:w="80"/>
              <w:left w:type="dxa" w:w="110"/>
              <w:bottom w:type="dxa" w:w="80"/>
              <w:right w:type="dxa" w:w="110"/>
            </w:tcMar>
          </w:tcPr>
          <w:p>
            <w:pPr>
              <w:spacing w:after="0"/>
            </w:pPr>
            <w:r>
              <w:rPr>
                <w:b/>
                <w:bCs/>
                <w:color w:val="047857"/>
                <w:sz w:val="17"/>
                <w:szCs w:val="17"/>
              </w:rPr>
              <w:t xml:space="preserve">OQ-44</w:t>
            </w:r>
          </w:p>
        </w:tc>
        <w:tc>
          <w:tcPr>
            <w:tcW w:type="pct" w:w="66%"/>
            <w:tcMar>
              <w:top w:type="dxa" w:w="80"/>
              <w:left w:type="dxa" w:w="110"/>
              <w:bottom w:type="dxa" w:w="80"/>
              <w:right w:type="dxa" w:w="110"/>
            </w:tcMar>
          </w:tcPr>
          <w:p>
            <w:pPr>
              <w:spacing w:after="0"/>
            </w:pPr>
            <w:r>
              <w:rPr>
                <w:sz w:val="17"/>
                <w:szCs w:val="17"/>
              </w:rPr>
              <w:t xml:space="preserve">Cas de test automatisé exécuté par l'éditeur à chaque version, résultat en section 5.1.</w:t>
            </w:r>
          </w:p>
        </w:tc>
      </w:tr>
      <w:tr>
        <w:tc>
          <w:tcPr>
            <w:tcW w:type="pct" w:w="12%"/>
            <w:tcMar>
              <w:top w:type="dxa" w:w="80"/>
              <w:left w:type="dxa" w:w="110"/>
              <w:bottom w:type="dxa" w:w="80"/>
              <w:right w:type="dxa" w:w="110"/>
            </w:tcMar>
          </w:tcPr>
          <w:p>
            <w:pPr>
              <w:spacing w:after="0"/>
            </w:pPr>
            <w:r>
              <w:rPr>
                <w:b/>
                <w:bCs/>
                <w:color w:val="4338CA"/>
                <w:sz w:val="17"/>
                <w:szCs w:val="17"/>
              </w:rPr>
              <w:t xml:space="preserve">URS-48</w:t>
            </w:r>
          </w:p>
        </w:tc>
        <w:tc>
          <w:tcPr>
            <w:tcW w:type="pct" w:w="22%"/>
            <w:tcMar>
              <w:top w:type="dxa" w:w="80"/>
              <w:left w:type="dxa" w:w="110"/>
              <w:bottom w:type="dxa" w:w="80"/>
              <w:right w:type="dxa" w:w="110"/>
            </w:tcMar>
          </w:tcPr>
          <w:p>
            <w:pPr>
              <w:spacing w:after="0"/>
            </w:pPr>
            <w:r>
              <w:rPr>
                <w:b/>
                <w:bCs/>
                <w:color w:val="047857"/>
                <w:sz w:val="17"/>
                <w:szCs w:val="17"/>
              </w:rPr>
              <w:t xml:space="preserve">OQ-45</w:t>
            </w:r>
          </w:p>
        </w:tc>
        <w:tc>
          <w:tcPr>
            <w:tcW w:type="pct" w:w="66%"/>
            <w:tcMar>
              <w:top w:type="dxa" w:w="80"/>
              <w:left w:type="dxa" w:w="110"/>
              <w:bottom w:type="dxa" w:w="80"/>
              <w:right w:type="dxa" w:w="110"/>
            </w:tcMar>
          </w:tcPr>
          <w:p>
            <w:pPr>
              <w:spacing w:after="0"/>
            </w:pPr>
            <w:r>
              <w:rPr>
                <w:sz w:val="17"/>
                <w:szCs w:val="17"/>
              </w:rPr>
              <w:t xml:space="preserve">Cas de test automatisé exécuté par l'éditeur à chaque version, résultat en section 5.1.</w:t>
            </w:r>
          </w:p>
        </w:tc>
      </w:tr>
      <w:tr>
        <w:tc>
          <w:tcPr>
            <w:tcW w:type="pct" w:w="12%"/>
            <w:tcMar>
              <w:top w:type="dxa" w:w="80"/>
              <w:left w:type="dxa" w:w="110"/>
              <w:bottom w:type="dxa" w:w="80"/>
              <w:right w:type="dxa" w:w="110"/>
            </w:tcMar>
          </w:tcPr>
          <w:p>
            <w:pPr>
              <w:spacing w:after="0"/>
            </w:pPr>
            <w:r>
              <w:rPr>
                <w:b/>
                <w:bCs/>
                <w:color w:val="4338CA"/>
                <w:sz w:val="17"/>
                <w:szCs w:val="17"/>
              </w:rPr>
              <w:t xml:space="preserve">URS-49</w:t>
            </w:r>
          </w:p>
        </w:tc>
        <w:tc>
          <w:tcPr>
            <w:tcW w:type="pct" w:w="22%"/>
            <w:tcMar>
              <w:top w:type="dxa" w:w="80"/>
              <w:left w:type="dxa" w:w="110"/>
              <w:bottom w:type="dxa" w:w="80"/>
              <w:right w:type="dxa" w:w="110"/>
            </w:tcMar>
          </w:tcPr>
          <w:p>
            <w:pPr>
              <w:spacing w:after="0"/>
            </w:pPr>
            <w:r>
              <w:rPr>
                <w:b/>
                <w:bCs/>
                <w:color w:val="047857"/>
                <w:sz w:val="17"/>
                <w:szCs w:val="17"/>
              </w:rPr>
              <w:t xml:space="preserve">OQ-46</w:t>
            </w:r>
          </w:p>
        </w:tc>
        <w:tc>
          <w:tcPr>
            <w:tcW w:type="pct" w:w="66%"/>
            <w:tcMar>
              <w:top w:type="dxa" w:w="80"/>
              <w:left w:type="dxa" w:w="110"/>
              <w:bottom w:type="dxa" w:w="80"/>
              <w:right w:type="dxa" w:w="110"/>
            </w:tcMar>
          </w:tcPr>
          <w:p>
            <w:pPr>
              <w:spacing w:after="0"/>
            </w:pPr>
            <w:r>
              <w:rPr>
                <w:sz w:val="17"/>
                <w:szCs w:val="17"/>
              </w:rPr>
              <w:t xml:space="preserve">Cas de test automatisé exécuté par l'éditeur à chaque version, résultat en section 5.1.</w:t>
            </w:r>
          </w:p>
        </w:tc>
      </w:tr>
    </w:tbl>
    <w:p>
      <w:pPr>
        <w:pStyle w:val="Heading1"/>
        <w:spacing w:after="140" w:before="320"/>
      </w:pPr>
      <w:r>
        <w:t xml:space="preserve">7. Ce qui reste à votre charge</w:t>
      </w:r>
    </w:p>
    <w:p>
      <w:pPr>
        <w:spacing w:after="140"/>
      </w:pPr>
      <w:r>
        <w:rPr>
          <w:sz w:val="20"/>
          <w:szCs w:val="20"/>
        </w:rPr>
        <w:t xml:space="preserve">Sur les 49 exigences, 45 sont vérifiées automatiquement par l'éditeur et 4 doivent l'être chez vous. Ce n'est pas un partage arbitraire : ces 4 exigences ne sont pas observables sans navigateur, sans requête HTTP ou sans votre infrastructure. Les compter comme couvertes serait une affirmation invérifiable.</w:t>
      </w:r>
    </w:p>
    <w:p>
      <w:pPr>
        <w:spacing w:after="60"/>
      </w:pPr>
      <w:r>
        <w:rPr>
          <w:b/>
          <w:bCs/>
          <w:sz w:val="20"/>
          <w:szCs w:val="20"/>
        </w:rPr>
        <w:t xml:space="preserve">Qualification d'installation (IQ)</w:t>
      </w:r>
    </w:p>
    <w:p>
      <w:pPr>
        <w:spacing w:after="140"/>
      </w:pPr>
      <w:r>
        <w:rPr>
          <w:sz w:val="20"/>
          <w:szCs w:val="20"/>
        </w:rPr>
        <w:t xml:space="preserve">Exécuter et signer le protocole IQ remis avec ce dossier : prérequis, déploiement, contrôles d'environnement, sauvegarde et restauration éprouvées, accès HTTPS. C'est votre installation, sur votre infrastructure — l'éditeur ne peut pas la qualifier à votre place.</w:t>
      </w:r>
    </w:p>
    <w:p>
      <w:pPr>
        <w:spacing w:after="60"/>
      </w:pPr>
      <w:r>
        <w:rPr>
          <w:b/>
          <w:bCs/>
          <w:sz w:val="20"/>
          <w:szCs w:val="20"/>
        </w:rPr>
        <w:t xml:space="preserve">Qualification de performance (PQ)</w:t>
      </w:r>
    </w:p>
    <w:p>
      <w:pPr>
        <w:spacing w:after="140"/>
      </w:pPr>
      <w:r>
        <w:rPr>
          <w:sz w:val="20"/>
          <w:szCs w:val="20"/>
        </w:rPr>
        <w:t xml:space="preserve">Vérifier dans votre environnement les 4 exigences reportées (section 6), puis dérouler vos propres cas d'usage prévu : votre nomenclature, vos types de documents, vos rôles réels, votre volume.</w:t>
      </w:r>
    </w:p>
    <w:p>
      <w:pPr>
        <w:spacing w:after="60"/>
      </w:pPr>
      <w:r>
        <w:rPr>
          <w:b/>
          <w:bCs/>
          <w:sz w:val="20"/>
          <w:szCs w:val="20"/>
        </w:rPr>
        <w:t xml:space="preserve">Définition de votre usage prévu</w:t>
      </w:r>
    </w:p>
    <w:p>
      <w:pPr>
        <w:spacing w:after="140"/>
      </w:pPr>
      <w:r>
        <w:rPr>
          <w:sz w:val="20"/>
          <w:szCs w:val="20"/>
        </w:rPr>
        <w:t xml:space="preserve">Énoncer ce que vous attendez du logiciel dans VOTRE système qualité : quels enregistrements il porte, quelles décisions s'appuient dessus, quelles procédures l'encadrent. C'est le document dont dépend la portée de votre validation, et l'éditeur ne peut pas l'écrire.</w:t>
      </w:r>
    </w:p>
    <w:p>
      <w:pPr>
        <w:spacing w:after="60"/>
      </w:pPr>
      <w:r>
        <w:rPr>
          <w:b/>
          <w:bCs/>
          <w:sz w:val="20"/>
          <w:szCs w:val="20"/>
        </w:rPr>
        <w:t xml:space="preserve">Revalidation à chaque version</w:t>
      </w:r>
    </w:p>
    <w:p>
      <w:pPr>
        <w:spacing w:after="140"/>
      </w:pPr>
      <w:r>
        <w:rPr>
          <w:sz w:val="20"/>
          <w:szCs w:val="20"/>
        </w:rPr>
        <w:t xml:space="preserve">Rejouer votre PQ à chaque mise à jour, en vous appuyant sur le rapport OQ de la nouvelle version. L'éditeur fournit ce rapport régénéré à chaque livraison ; sans lui, votre revalidation repartirait de zéro.</w:t>
      </w:r>
    </w:p>
    <w:p>
      <w:pPr>
        <w:spacing w:after="60"/>
      </w:pPr>
      <w:r>
        <w:rPr>
          <w:b/>
          <w:bCs/>
          <w:sz w:val="20"/>
          <w:szCs w:val="20"/>
        </w:rPr>
        <w:t xml:space="preserve">Certification 21 CFR §11.100(c)</w:t>
      </w:r>
    </w:p>
    <w:p>
      <w:pPr>
        <w:spacing w:after="140"/>
      </w:pPr>
      <w:r>
        <w:rPr>
          <w:sz w:val="20"/>
          <w:szCs w:val="20"/>
        </w:rPr>
        <w:t xml:space="preserve">Si vous êtes soumis au Part 11, la certification auprès de la FDA est un acte de votre entité juridique. Aucun fournisseur ne la porte à votre place.</w:t>
      </w:r>
    </w:p>
    <w:p>
      <w:pPr>
        <w:pStyle w:val="Heading1"/>
        <w:spacing w:after="140" w:before="320"/>
      </w:pPr>
      <w:r>
        <w:t xml:space="preserve">8. Maintien du dossier</w:t>
      </w:r>
    </w:p>
    <w:p>
      <w:pPr>
        <w:spacing w:after="140"/>
      </w:pPr>
      <w:r>
        <w:rPr>
          <w:sz w:val="20"/>
          <w:szCs w:val="20"/>
        </w:rPr>
        <w:t xml:space="preserve">Le piège connu d'un pack de validation fournisseur est de vieillir : rédigé une fois, il cesse de décrire le produit dès la version suivante, et un auditeur qui s'en aperçoit remet en cause la validation entière.</w:t>
      </w:r>
    </w:p>
    <w:p>
      <w:pPr>
        <w:spacing w:after="140"/>
      </w:pPr>
      <w:r>
        <w:rPr>
          <w:sz w:val="20"/>
          <w:szCs w:val="20"/>
        </w:rPr>
        <w:t xml:space="preserve">Ce dossier est protégé de ce vieillissement par construction : la section 5 n'est pas rédigée, elle est PRODUITE à partir du fichier de résultats de la suite de tests. Le générateur refuse d'écrire le document si la suite n'a pas été exécutée, et signale en tête tout écart constaté. Un dossier qui affirme « aucun écart » a donc nécessairement vu passer une exécution réelle et verte.</w:t>
      </w:r>
    </w:p>
    <w:p>
      <w:pPr>
        <w:spacing w:after="160"/>
      </w:pPr>
      <w:r>
        <w:rPr>
          <w:b/>
          <w:bCs/>
          <w:sz w:val="20"/>
          <w:szCs w:val="20"/>
        </w:rPr>
        <w:t xml:space="preserve">Conséquence pratique pour vous : demandez la version du dossier correspondant à la version que vous exploitez, et vérifiez que la date d'exécution en section 5 est postérieure à la publication de cette version.</w:t>
      </w:r>
    </w:p>
    <w:p>
      <w:pPr>
        <w:pStyle w:val="Heading1"/>
        <w:spacing w:after="140" w:before="320"/>
      </w:pPr>
      <w:r>
        <w:t xml:space="preserve">9. Limites de ce dossier</w:t>
      </w:r>
    </w:p>
    <w:p>
      <w:pPr>
        <w:spacing w:after="100"/>
      </w:pPr>
      <w:r>
        <w:rPr>
          <w:sz w:val="20"/>
          <w:szCs w:val="20"/>
        </w:rPr>
        <w:t xml:space="preserve">— La couverture de test porte sur les règles métier du produit (autorité, piste d'audit, signature, gel de contenu, calculs CLSI, robustesse des entrées). Elle ne couvre pas l'interface utilisateur, dont la vérification relève de votre PQ.</w:t>
      </w:r>
    </w:p>
    <w:p>
      <w:pPr>
        <w:spacing w:after="100"/>
      </w:pPr>
      <w:r>
        <w:rPr>
          <w:sz w:val="20"/>
          <w:szCs w:val="20"/>
        </w:rPr>
        <w:t xml:space="preserve">— Les cas sont exécutés sur SQLite, moteur de base livré avec le produit. Un déploiement sur un autre moteur sortirait du périmètre de ce dossier.</w:t>
      </w:r>
    </w:p>
    <w:p>
      <w:pPr>
        <w:spacing w:after="100"/>
      </w:pPr>
      <w:r>
        <w:rPr>
          <w:sz w:val="20"/>
          <w:szCs w:val="20"/>
        </w:rPr>
        <w:t xml:space="preserve">— La tenue sous charge fait l'objet d'une campagne mesurée à part, remise avec ce dossier (note de tenue sous charge) : le logiciel est caractérisé jusqu'à 50 143 entrées de piste d'audit. Ce qui n'y est PAS mesuré est nommé dans la note, à commencer par les utilisateurs simultanés — SQLite n'admet qu'un écrivain à la fois. Au-delà du domaine mesuré, le comportement n'est pas caractérisé.</w:t>
      </w:r>
    </w:p>
    <w:p>
      <w:pPr>
        <w:spacing w:after="100"/>
      </w:pPr>
      <w:r>
        <w:rPr>
          <w:sz w:val="20"/>
          <w:szCs w:val="20"/>
        </w:rPr>
        <w:t xml:space="preserve">— Aucun test de pénétration n'a été conduit par un tiers indépendant. Les contrôles d'autorité sont vérifiés, la résistance à une attaque ciblée ne l'est pas.</w:t>
      </w:r>
    </w:p>
    <w:p>
      <w:pPr>
        <w:spacing w:after="100"/>
      </w:pPr>
      <w:r>
        <w:rPr>
          <w:sz w:val="20"/>
          <w:szCs w:val="20"/>
        </w:rPr>
        <w:t xml:space="preserve">— Les copies d'archivage sont produites au format PDF/A-2b et validées par veraPDF 1.30.2, l'implémentation de référence, exécutée sur une archive complète et sur un document de torture bâti pour la faire échouer ; le harnais porte un témoin non conforme et refuse de conclure si le validateur le laisse passer. Ce contrôle a trouvé, à sa première exécution, deux non-conformités que nos propres vérifications ne voyaient pas. LE FORMAT EST VALIDÉ, PAS CERTIFIÉ : un validateur conforme n'est pas un organisme notifié, et l'affirmation porte sur cette version du validateur et sur ce corpus. Les polices embarquées couvrent l'alphabet du domaine — grec, cyrillique, opérateurs mathématiques, exposants, fractions, flèches — ainsi que les kana et idéogrammes ; un cas de qualification relit cette couverture sur les polices livrées, et une police n'annonce que ce qu'elle sait dessiner. La police d'idéogrammes n'est embarquée que dans les documents qui en portent, et réduite à ce qu'ils emploient : un enregistrement sans idéogramme ne paie rien. LIMITE SUBSISTANTE : hangûl, idéogrammes propres au chinois simplifié et emoji couleur ne sont pas dessinables ; ils sont remplacés, et chaque copie DÉCLARE lesquels dans une table dédiée.</w:t>
      </w:r>
    </w:p>
    <w:sectPr>
      <w:headerReference w:type="default" r:id="rId7"/>
      <w:footerReference w:type="default" r:id="rId8"/>
      <w:pgSz w:w="11906" w:h="16838" w:orient="portrait"/>
      <w:pgMar w:top="900" w:right="800" w:bottom="900" w:left="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75569"/>
        <w:sz w:val="15"/>
        <w:szCs w:val="15"/>
      </w:rPr>
      <w:t xml:space="preserve">Page </w:t>
    </w:r>
    <w:r>
      <w:rPr>
        <w:color w:val="475569"/>
        <w:sz w:val="15"/>
        <w:szCs w:val="15"/>
      </w:rPr>
      <w:fldChar w:fldCharType="begin"/>
      <w:instrText xml:space="preserve">PAGE</w:instrText>
      <w:fldChar w:fldCharType="separate"/>
      <w:fldChar w:fldCharType="end"/>
    </w:r>
    <w:r>
      <w:rPr>
        <w:color w:val="475569"/>
        <w:sz w:val="15"/>
        <w:szCs w:val="15"/>
      </w:rPr>
      <w:t xml:space="preserve"> sur </w:t>
    </w:r>
    <w:r>
      <w:rPr>
        <w:color w:val="475569"/>
        <w:sz w:val="15"/>
        <w:szCs w:val="15"/>
      </w:rPr>
      <w:fldChar w:fldCharType="begin"/>
      <w:instrText xml:space="preserve">NUMPAGES</w:instrText>
      <w:fldChar w:fldCharType="separate"/>
      <w:fldChar w:fldCharType="end"/>
    </w:r>
    <w:r>
      <w:rPr>
        <w:color w:val="475569"/>
        <w:sz w:val="15"/>
        <w:szCs w:val="15"/>
      </w:rPr>
      <w:t xml:space="preserve">   ·   Version 1.2.1 · rapport OQ exécuté le 1 octobre 2026 à 11:08 UTC</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color w:val="475569"/>
        <w:sz w:val="15"/>
        <w:szCs w:val="15"/>
      </w:rPr>
      <w:t xml:space="preserve">Filum — Dossier de validation logiciel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40" w:before="320"/>
    </w:pPr>
    <w:rPr>
      <w:rFonts w:ascii="Calibri" w:cs="Calibri" w:eastAsia="Calibri" w:hAnsi="Calibri"/>
      <w:b/>
      <w:bCs/>
      <w:color w:val="4338CA"/>
      <w:sz w:val="26"/>
      <w:szCs w:val="26"/>
    </w:rPr>
  </w:style>
  <w:style w:type="paragraph" w:styleId="Heading2">
    <w:name w:val="Heading 2"/>
    <w:basedOn w:val="Normal"/>
    <w:next w:val="Normal"/>
    <w:qFormat/>
    <w:pPr>
      <w:spacing w:after="100" w:before="240"/>
    </w:pPr>
    <w:rPr>
      <w:rFonts w:ascii="Calibri" w:cs="Calibri" w:eastAsia="Calibri" w:hAnsi="Calibri"/>
      <w:b/>
      <w:bCs/>
      <w:color w:val="1E293B"/>
      <w:sz w:val="22"/>
      <w:szCs w:val="22"/>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Filum — Dossier de validation logiciel</dc:title>
  <dc:creator>Un-named</dc:creator>
  <cp:lastModifiedBy>Un-named</cp:lastModifiedBy>
  <cp:revision>1</cp:revision>
  <dcterms:created xsi:type="dcterms:W3CDTF">2026-10-01T11:29:22.418Z</dcterms:created>
  <dcterms:modified xsi:type="dcterms:W3CDTF">2026-10-01T11:29:22.418Z</dcterms:modified>
</cp:coreProperties>
</file>

<file path=docProps/custom.xml><?xml version="1.0" encoding="utf-8"?>
<Properties xmlns="http://schemas.openxmlformats.org/officeDocument/2006/custom-properties" xmlns:vt="http://schemas.openxmlformats.org/officeDocument/2006/docPropsVTypes"/>
</file>