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b/>
          <w:bCs/>
          <w:color w:val="4338CA"/>
          <w:sz w:val="44"/>
          <w:szCs w:val="44"/>
        </w:rPr>
        <w:t xml:space="preserve">Filum</w:t>
      </w:r>
    </w:p>
    <w:p>
      <w:pPr>
        <w:spacing w:after="60"/>
        <w:jc w:val="center"/>
      </w:pPr>
      <w:r>
        <w:rPr>
          <w:b/>
          <w:bCs/>
          <w:sz w:val="34"/>
          <w:szCs w:val="34"/>
        </w:rPr>
        <w:t xml:space="preserve">Installation qualification protocol</w:t>
      </w:r>
    </w:p>
    <w:p>
      <w:pPr>
        <w:spacing w:after="700"/>
        <w:jc w:val="center"/>
      </w:pPr>
      <w:r>
        <w:rPr>
          <w:color w:val="475569"/>
          <w:sz w:val="22"/>
          <w:szCs w:val="22"/>
        </w:rPr>
        <w:t xml:space="preserve">To be executed and signed by your organisation</w:t>
      </w:r>
    </w:p>
    <w:p>
      <w:pPr>
        <w:pStyle w:val="Heading1"/>
        <w:spacing w:after="140" w:before="320"/>
      </w:pPr>
      <w:r>
        <w:t xml:space="preserve">1. Purpose</w:t>
      </w:r>
    </w:p>
    <w:p>
      <w:pPr>
        <w:spacing w:after="120"/>
      </w:pPr>
      <w:r>
        <w:rPr>
          <w:sz w:val="20"/>
          <w:szCs w:val="20"/>
        </w:rPr>
        <w:t xml:space="preserve">This protocol qualifies the INSTALLATION of Filum version 1.2.1 on your infrastructure. It is designed to be executed by whoever administers your servers — not by your quality engineer: the operations belong to IT operations.</w:t>
      </w:r>
    </w:p>
    <w:p>
      <w:pPr>
        <w:spacing w:after="160"/>
      </w:pPr>
      <w:r>
        <w:rPr>
          <w:sz w:val="20"/>
          <w:szCs w:val="20"/>
        </w:rPr>
        <w:t xml:space="preserve">The vendor cannot execute this qualification in your place: Filum is installed at your site, on machines it does not know, with your backup policy and your TLS termination. The operational qualification report, by contrast, is supplied already executed — it is in the validation file delivered with this protocol.</w:t>
      </w:r>
    </w:p>
    <w:p>
      <w:pPr>
        <w:pStyle w:val="Heading2"/>
        <w:spacing w:after="140" w:before="320"/>
      </w:pPr>
      <w:r>
        <w:t xml:space="preserve">2. Identification of the installation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4%"/>
            <w:shd w:fill="F8FAFC"/>
            <w:tcMar>
              <w:top w:type="dxa" w:w="80"/>
              <w:left w:type="dxa" w:w="110"/>
              <w:bottom w:type="dxa" w:w="80"/>
              <w:right w:type="dxa" w:w="110"/>
            </w:tcMar>
          </w:tcPr>
          <w:p>
            <w:pPr>
              <w:spacing w:after="0"/>
            </w:pPr>
            <w:r>
              <w:rPr>
                <w:b/>
                <w:bCs/>
                <w:sz w:val="17"/>
                <w:szCs w:val="17"/>
              </w:rPr>
              <w:t xml:space="preserve">Organisation</w:t>
            </w:r>
          </w:p>
        </w:tc>
        <w:tc>
          <w:tcPr>
            <w:tcW w:type="pct" w:w="66%"/>
            <w:tcMar>
              <w:top w:type="dxa" w:w="80"/>
              <w:left w:type="dxa" w:w="110"/>
              <w:bottom w:type="dxa" w:w="80"/>
              <w:right w:type="dxa" w:w="110"/>
            </w:tcMar>
          </w:tcPr>
          <w:p>
            <w:pPr>
              <w:spacing w:after="0"/>
            </w:pPr>
            <w:r>
              <w:rPr>
                <w:sz w:val="17"/>
                <w:szCs w:val="17"/>
              </w:rPr>
              <w:t xml:space="preserve"> </w:t>
            </w:r>
          </w:p>
        </w:tc>
      </w:tr>
      <w:tr>
        <w:tc>
          <w:tcPr>
            <w:tcW w:type="pct" w:w="34%"/>
            <w:shd w:fill="F8FAFC"/>
            <w:tcMar>
              <w:top w:type="dxa" w:w="80"/>
              <w:left w:type="dxa" w:w="110"/>
              <w:bottom w:type="dxa" w:w="80"/>
              <w:right w:type="dxa" w:w="110"/>
            </w:tcMar>
          </w:tcPr>
          <w:p>
            <w:pPr>
              <w:spacing w:after="0"/>
            </w:pPr>
            <w:r>
              <w:rPr>
                <w:b/>
                <w:bCs/>
                <w:sz w:val="17"/>
                <w:szCs w:val="17"/>
              </w:rPr>
              <w:t xml:space="preserve">Target server (name, environment)</w:t>
            </w:r>
          </w:p>
        </w:tc>
        <w:tc>
          <w:tcPr>
            <w:tcW w:type="pct" w:w="66%"/>
            <w:tcMar>
              <w:top w:type="dxa" w:w="80"/>
              <w:left w:type="dxa" w:w="110"/>
              <w:bottom w:type="dxa" w:w="80"/>
              <w:right w:type="dxa" w:w="110"/>
            </w:tcMar>
          </w:tcPr>
          <w:p>
            <w:pPr>
              <w:spacing w:after="0"/>
            </w:pPr>
            <w:r>
              <w:rPr>
                <w:sz w:val="17"/>
                <w:szCs w:val="17"/>
              </w:rPr>
              <w:t xml:space="preserve"> </w:t>
            </w:r>
          </w:p>
        </w:tc>
      </w:tr>
      <w:tr>
        <w:tc>
          <w:tcPr>
            <w:tcW w:type="pct" w:w="34%"/>
            <w:shd w:fill="F8FAFC"/>
            <w:tcMar>
              <w:top w:type="dxa" w:w="80"/>
              <w:left w:type="dxa" w:w="110"/>
              <w:bottom w:type="dxa" w:w="80"/>
              <w:right w:type="dxa" w:w="110"/>
            </w:tcMar>
          </w:tcPr>
          <w:p>
            <w:pPr>
              <w:spacing w:after="0"/>
            </w:pPr>
            <w:r>
              <w:rPr>
                <w:b/>
                <w:bCs/>
                <w:sz w:val="17"/>
                <w:szCs w:val="17"/>
              </w:rPr>
              <w:t xml:space="preserve">Version of the image installed</w:t>
            </w:r>
          </w:p>
        </w:tc>
        <w:tc>
          <w:tcPr>
            <w:tcW w:type="pct" w:w="66%"/>
            <w:tcMar>
              <w:top w:type="dxa" w:w="80"/>
              <w:left w:type="dxa" w:w="110"/>
              <w:bottom w:type="dxa" w:w="80"/>
              <w:right w:type="dxa" w:w="110"/>
            </w:tcMar>
          </w:tcPr>
          <w:p>
            <w:pPr>
              <w:spacing w:after="0"/>
            </w:pPr>
            <w:r>
              <w:rPr>
                <w:sz w:val="17"/>
                <w:szCs w:val="17"/>
              </w:rPr>
              <w:t xml:space="preserve"> </w:t>
            </w:r>
          </w:p>
        </w:tc>
      </w:tr>
      <w:tr>
        <w:tc>
          <w:tcPr>
            <w:tcW w:type="pct" w:w="34%"/>
            <w:shd w:fill="F8FAFC"/>
            <w:tcMar>
              <w:top w:type="dxa" w:w="80"/>
              <w:left w:type="dxa" w:w="110"/>
              <w:bottom w:type="dxa" w:w="80"/>
              <w:right w:type="dxa" w:w="110"/>
            </w:tcMar>
          </w:tcPr>
          <w:p>
            <w:pPr>
              <w:spacing w:after="0"/>
            </w:pPr>
            <w:r>
              <w:rPr>
                <w:b/>
                <w:bCs/>
                <w:sz w:val="17"/>
                <w:szCs w:val="17"/>
              </w:rPr>
              <w:t xml:space="preserve">Image digest</w:t>
            </w:r>
          </w:p>
        </w:tc>
        <w:tc>
          <w:tcPr>
            <w:tcW w:type="pct" w:w="66%"/>
            <w:tcMar>
              <w:top w:type="dxa" w:w="80"/>
              <w:left w:type="dxa" w:w="110"/>
              <w:bottom w:type="dxa" w:w="80"/>
              <w:right w:type="dxa" w:w="110"/>
            </w:tcMar>
          </w:tcPr>
          <w:p>
            <w:pPr>
              <w:spacing w:after="0"/>
            </w:pPr>
            <w:r>
              <w:rPr>
                <w:sz w:val="17"/>
                <w:szCs w:val="17"/>
              </w:rPr>
              <w:t xml:space="preserve"> </w:t>
            </w:r>
          </w:p>
        </w:tc>
      </w:tr>
      <w:tr>
        <w:tc>
          <w:tcPr>
            <w:tcW w:type="pct" w:w="34%"/>
            <w:shd w:fill="F8FAFC"/>
            <w:tcMar>
              <w:top w:type="dxa" w:w="80"/>
              <w:left w:type="dxa" w:w="110"/>
              <w:bottom w:type="dxa" w:w="80"/>
              <w:right w:type="dxa" w:w="110"/>
            </w:tcMar>
          </w:tcPr>
          <w:p>
            <w:pPr>
              <w:spacing w:after="0"/>
            </w:pPr>
            <w:r>
              <w:rPr>
                <w:b/>
                <w:bCs/>
                <w:sz w:val="17"/>
                <w:szCs w:val="17"/>
              </w:rPr>
              <w:t xml:space="preserve">Date of execution</w:t>
            </w:r>
          </w:p>
        </w:tc>
        <w:tc>
          <w:tcPr>
            <w:tcW w:type="pct" w:w="66%"/>
            <w:tcMar>
              <w:top w:type="dxa" w:w="80"/>
              <w:left w:type="dxa" w:w="110"/>
              <w:bottom w:type="dxa" w:w="80"/>
              <w:right w:type="dxa" w:w="110"/>
            </w:tcMar>
          </w:tcPr>
          <w:p>
            <w:pPr>
              <w:spacing w:after="0"/>
            </w:pPr>
            <w:r>
              <w:rPr>
                <w:sz w:val="17"/>
                <w:szCs w:val="17"/>
              </w:rPr>
              <w:t xml:space="preserve"> </w:t>
            </w:r>
          </w:p>
        </w:tc>
      </w:tr>
      <w:tr>
        <w:tc>
          <w:tcPr>
            <w:tcW w:type="pct" w:w="34%"/>
            <w:shd w:fill="F8FAFC"/>
            <w:tcMar>
              <w:top w:type="dxa" w:w="80"/>
              <w:left w:type="dxa" w:w="110"/>
              <w:bottom w:type="dxa" w:w="80"/>
              <w:right w:type="dxa" w:w="110"/>
            </w:tcMar>
          </w:tcPr>
          <w:p>
            <w:pPr>
              <w:spacing w:after="0"/>
            </w:pPr>
            <w:r>
              <w:rPr>
                <w:b/>
                <w:bCs/>
                <w:sz w:val="17"/>
                <w:szCs w:val="17"/>
              </w:rPr>
              <w:t xml:space="preserve">Executed by (name, function)</w:t>
            </w:r>
          </w:p>
        </w:tc>
        <w:tc>
          <w:tcPr>
            <w:tcW w:type="pct" w:w="66%"/>
            <w:tcMar>
              <w:top w:type="dxa" w:w="80"/>
              <w:left w:type="dxa" w:w="110"/>
              <w:bottom w:type="dxa" w:w="80"/>
              <w:right w:type="dxa" w:w="110"/>
            </w:tcMar>
          </w:tcPr>
          <w:p>
            <w:pPr>
              <w:spacing w:after="0"/>
            </w:pPr>
            <w:r>
              <w:rPr>
                <w:sz w:val="17"/>
                <w:szCs w:val="17"/>
              </w:rPr>
              <w:t xml:space="preserve"> </w:t>
            </w:r>
          </w:p>
        </w:tc>
      </w:tr>
    </w:tbl>
    <w:p>
      <w:pPr>
        <w:pStyle w:val="Heading1"/>
        <w:spacing w:after="140" w:before="320"/>
      </w:pPr>
      <w:r>
        <w:t xml:space="preserve">3. Qualification steps</w:t>
      </w:r>
    </w:p>
    <w:p>
      <w:pPr>
        <w:spacing w:after="140"/>
      </w:pPr>
      <w:r>
        <w:rPr>
          <w:sz w:val="20"/>
          <w:szCs w:val="20"/>
        </w:rPr>
        <w:t xml:space="preserve">Every step ends with a verdict. A step in deviation does not forbid putting the system into service, but must be justified in writing and, where necessary, covered by a compensating measure in your quality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7%"/>
            <w:shd w:fill="E0E7FF"/>
            <w:tcMar>
              <w:top w:type="dxa" w:w="80"/>
              <w:left w:type="dxa" w:w="110"/>
              <w:bottom w:type="dxa" w:w="80"/>
              <w:right w:type="dxa" w:w="110"/>
            </w:tcMar>
          </w:tcPr>
          <w:p>
            <w:pPr>
              <w:spacing w:after="0"/>
            </w:pPr>
            <w:r>
              <w:rPr>
                <w:b/>
                <w:bCs/>
                <w:sz w:val="17"/>
                <w:szCs w:val="17"/>
              </w:rPr>
              <w:t xml:space="preserve">Ref.</w:t>
            </w:r>
          </w:p>
        </w:tc>
        <w:tc>
          <w:tcPr>
            <w:tcW w:type="pct" w:w="17%"/>
            <w:shd w:fill="E0E7FF"/>
            <w:tcMar>
              <w:top w:type="dxa" w:w="80"/>
              <w:left w:type="dxa" w:w="110"/>
              <w:bottom w:type="dxa" w:w="80"/>
              <w:right w:type="dxa" w:w="110"/>
            </w:tcMar>
          </w:tcPr>
          <w:p>
            <w:pPr>
              <w:spacing w:after="0"/>
            </w:pPr>
            <w:r>
              <w:rPr>
                <w:b/>
                <w:bCs/>
                <w:sz w:val="17"/>
                <w:szCs w:val="17"/>
              </w:rPr>
              <w:t xml:space="preserve">Subject</w:t>
            </w:r>
          </w:p>
        </w:tc>
        <w:tc>
          <w:tcPr>
            <w:tcW w:type="pct" w:w="32%"/>
            <w:shd w:fill="E0E7FF"/>
            <w:tcMar>
              <w:top w:type="dxa" w:w="80"/>
              <w:left w:type="dxa" w:w="110"/>
              <w:bottom w:type="dxa" w:w="80"/>
              <w:right w:type="dxa" w:w="110"/>
            </w:tcMar>
          </w:tcPr>
          <w:p>
            <w:pPr>
              <w:spacing w:after="0"/>
            </w:pPr>
            <w:r>
              <w:rPr>
                <w:b/>
                <w:bCs/>
                <w:sz w:val="17"/>
                <w:szCs w:val="17"/>
              </w:rPr>
              <w:t xml:space="preserve">Operation to perform</w:t>
            </w:r>
          </w:p>
        </w:tc>
        <w:tc>
          <w:tcPr>
            <w:tcW w:type="pct" w:w="28%"/>
            <w:shd w:fill="E0E7FF"/>
            <w:tcMar>
              <w:top w:type="dxa" w:w="80"/>
              <w:left w:type="dxa" w:w="110"/>
              <w:bottom w:type="dxa" w:w="80"/>
              <w:right w:type="dxa" w:w="110"/>
            </w:tcMar>
          </w:tcPr>
          <w:p>
            <w:pPr>
              <w:spacing w:after="0"/>
            </w:pPr>
            <w:r>
              <w:rPr>
                <w:b/>
                <w:bCs/>
                <w:sz w:val="17"/>
                <w:szCs w:val="17"/>
              </w:rPr>
              <w:t xml:space="preserve">Acceptance criterion</w:t>
            </w:r>
          </w:p>
        </w:tc>
        <w:tc>
          <w:tcPr>
            <w:tcW w:type="pct" w:w="16%"/>
            <w:shd w:fill="E0E7FF"/>
            <w:tcMar>
              <w:top w:type="dxa" w:w="80"/>
              <w:left w:type="dxa" w:w="110"/>
              <w:bottom w:type="dxa" w:w="80"/>
              <w:right w:type="dxa" w:w="110"/>
            </w:tcMar>
          </w:tcPr>
          <w:p>
            <w:pPr>
              <w:spacing w:after="0"/>
            </w:pPr>
            <w:r>
              <w:rPr>
                <w:b/>
                <w:bCs/>
                <w:sz w:val="17"/>
                <w:szCs w:val="17"/>
              </w:rPr>
              <w:t xml:space="preserve">Result / verdict</w:t>
            </w:r>
          </w:p>
        </w:tc>
      </w:tr>
      <w:tr>
        <w:tc>
          <w:tcPr>
            <w:tcW w:type="pct" w:w="7%"/>
            <w:tcMar>
              <w:top w:type="dxa" w:w="80"/>
              <w:left w:type="dxa" w:w="110"/>
              <w:bottom w:type="dxa" w:w="80"/>
              <w:right w:type="dxa" w:w="110"/>
            </w:tcMar>
          </w:tcPr>
          <w:p>
            <w:pPr>
              <w:spacing w:after="0"/>
            </w:pPr>
            <w:r>
              <w:rPr>
                <w:b/>
                <w:bCs/>
                <w:color w:val="4338CA"/>
                <w:sz w:val="17"/>
                <w:szCs w:val="17"/>
              </w:rPr>
              <w:t xml:space="preserve">IQ-01</w:t>
            </w:r>
          </w:p>
        </w:tc>
        <w:tc>
          <w:tcPr>
            <w:tcW w:type="pct" w:w="17%"/>
            <w:tcMar>
              <w:top w:type="dxa" w:w="80"/>
              <w:left w:type="dxa" w:w="110"/>
              <w:bottom w:type="dxa" w:w="80"/>
              <w:right w:type="dxa" w:w="110"/>
            </w:tcMar>
          </w:tcPr>
          <w:p>
            <w:pPr>
              <w:spacing w:after="0"/>
            </w:pPr>
            <w:r>
              <w:rPr>
                <w:b/>
                <w:bCs/>
                <w:sz w:val="17"/>
                <w:szCs w:val="17"/>
              </w:rPr>
              <w:t xml:space="preserve">Hardware and system prerequisites</w:t>
            </w:r>
          </w:p>
        </w:tc>
        <w:tc>
          <w:tcPr>
            <w:tcW w:type="pct" w:w="32%"/>
            <w:tcMar>
              <w:top w:type="dxa" w:w="80"/>
              <w:left w:type="dxa" w:w="110"/>
              <w:bottom w:type="dxa" w:w="80"/>
              <w:right w:type="dxa" w:w="110"/>
            </w:tcMar>
          </w:tcPr>
          <w:p>
            <w:pPr>
              <w:spacing w:after="0"/>
            </w:pPr>
            <w:r>
              <w:rPr>
                <w:sz w:val="17"/>
                <w:szCs w:val="17"/>
              </w:rPr>
              <w:t xml:space="preserve">Record the operating system, the version of Docker Engine and docker compose, and the RAM and disk space available on the target server.</w:t>
            </w:r>
          </w:p>
        </w:tc>
        <w:tc>
          <w:tcPr>
            <w:tcW w:type="pct" w:w="28%"/>
            <w:tcMar>
              <w:top w:type="dxa" w:w="80"/>
              <w:left w:type="dxa" w:w="110"/>
              <w:bottom w:type="dxa" w:w="80"/>
              <w:right w:type="dxa" w:w="110"/>
            </w:tcMar>
          </w:tcPr>
          <w:p>
            <w:pPr>
              <w:spacing w:after="0"/>
            </w:pPr>
            <w:r>
              <w:rPr>
                <w:sz w:val="17"/>
                <w:szCs w:val="17"/>
              </w:rPr>
              <w:t xml:space="preserve">Docker Engine 24 or above, docker compose available, at least 1 GB of RAM and 2 GB of free disk.</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Conforming / Deviation</w:t>
            </w:r>
          </w:p>
        </w:tc>
      </w:tr>
      <w:tr>
        <w:tc>
          <w:tcPr>
            <w:tcW w:type="pct" w:w="7%"/>
            <w:tcMar>
              <w:top w:type="dxa" w:w="80"/>
              <w:left w:type="dxa" w:w="110"/>
              <w:bottom w:type="dxa" w:w="80"/>
              <w:right w:type="dxa" w:w="110"/>
            </w:tcMar>
          </w:tcPr>
          <w:p>
            <w:pPr>
              <w:spacing w:after="0"/>
            </w:pPr>
            <w:r>
              <w:rPr>
                <w:b/>
                <w:bCs/>
                <w:color w:val="4338CA"/>
                <w:sz w:val="17"/>
                <w:szCs w:val="17"/>
              </w:rPr>
              <w:t xml:space="preserve">IQ-02</w:t>
            </w:r>
          </w:p>
        </w:tc>
        <w:tc>
          <w:tcPr>
            <w:tcW w:type="pct" w:w="17%"/>
            <w:tcMar>
              <w:top w:type="dxa" w:w="80"/>
              <w:left w:type="dxa" w:w="110"/>
              <w:bottom w:type="dxa" w:w="80"/>
              <w:right w:type="dxa" w:w="110"/>
            </w:tcMar>
          </w:tcPr>
          <w:p>
            <w:pPr>
              <w:spacing w:after="0"/>
            </w:pPr>
            <w:r>
              <w:rPr>
                <w:b/>
                <w:bCs/>
                <w:sz w:val="17"/>
                <w:szCs w:val="17"/>
              </w:rPr>
              <w:t xml:space="preserve">Integrity of the delivered image</w:t>
            </w:r>
          </w:p>
        </w:tc>
        <w:tc>
          <w:tcPr>
            <w:tcW w:type="pct" w:w="32%"/>
            <w:tcMar>
              <w:top w:type="dxa" w:w="80"/>
              <w:left w:type="dxa" w:w="110"/>
              <w:bottom w:type="dxa" w:w="80"/>
              <w:right w:type="dxa" w:w="110"/>
            </w:tcMar>
          </w:tcPr>
          <w:p>
            <w:pPr>
              <w:spacing w:after="0"/>
            </w:pPr>
            <w:r>
              <w:rPr>
                <w:sz w:val="17"/>
                <w:szCs w:val="17"/>
              </w:rPr>
              <w:t xml:space="preserve">First check the digest of the ARCHIVE received, without Docker: `sha256sum -c filum-&lt;version&gt;.tar.gz.sha256`, or on Windows `Get-FileHash filum-&lt;version&gt;.tar.gz -Algorithm SHA256`. Then load it: `docker load -i filum-&lt;version&gt;.tar.gz`, and record the identifier of the resulting image: `docker image inspect filum:latest --format '{{.ID}}'`.</w:t>
            </w:r>
          </w:p>
        </w:tc>
        <w:tc>
          <w:tcPr>
            <w:tcW w:type="pct" w:w="28%"/>
            <w:tcMar>
              <w:top w:type="dxa" w:w="80"/>
              <w:left w:type="dxa" w:w="110"/>
              <w:bottom w:type="dxa" w:w="80"/>
              <w:right w:type="dxa" w:w="110"/>
            </w:tcMar>
          </w:tcPr>
          <w:p>
            <w:pPr>
              <w:spacing w:after="0"/>
            </w:pPr>
            <w:r>
              <w:rPr>
                <w:sz w:val="17"/>
                <w:szCs w:val="17"/>
              </w:rPr>
              <w:t xml:space="preserve">BOTH digests match those communicated by the vendor: the archive digest attests that the delivery is intact, the image digest attests that this is indeed the image the vendor built. Do not rebuild the image to check — two builds of the same code yield different digests, and the comparison would fail on a delivery that is in fact intact.</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Conforming / Deviation</w:t>
            </w:r>
          </w:p>
        </w:tc>
      </w:tr>
      <w:tr>
        <w:tc>
          <w:tcPr>
            <w:tcW w:type="pct" w:w="7%"/>
            <w:tcMar>
              <w:top w:type="dxa" w:w="80"/>
              <w:left w:type="dxa" w:w="110"/>
              <w:bottom w:type="dxa" w:w="80"/>
              <w:right w:type="dxa" w:w="110"/>
            </w:tcMar>
          </w:tcPr>
          <w:p>
            <w:pPr>
              <w:spacing w:after="0"/>
            </w:pPr>
            <w:r>
              <w:rPr>
                <w:b/>
                <w:bCs/>
                <w:color w:val="4338CA"/>
                <w:sz w:val="17"/>
                <w:szCs w:val="17"/>
              </w:rPr>
              <w:t xml:space="preserve">IQ-03</w:t>
            </w:r>
          </w:p>
        </w:tc>
        <w:tc>
          <w:tcPr>
            <w:tcW w:type="pct" w:w="17%"/>
            <w:tcMar>
              <w:top w:type="dxa" w:w="80"/>
              <w:left w:type="dxa" w:w="110"/>
              <w:bottom w:type="dxa" w:w="80"/>
              <w:right w:type="dxa" w:w="110"/>
            </w:tcMar>
          </w:tcPr>
          <w:p>
            <w:pPr>
              <w:spacing w:after="0"/>
            </w:pPr>
            <w:r>
              <w:rPr>
                <w:b/>
                <w:bCs/>
                <w:sz w:val="17"/>
                <w:szCs w:val="17"/>
              </w:rPr>
              <w:t xml:space="preserve">Configuration before first start</w:t>
            </w:r>
          </w:p>
        </w:tc>
        <w:tc>
          <w:tcPr>
            <w:tcW w:type="pct" w:w="32%"/>
            <w:tcMar>
              <w:top w:type="dxa" w:w="80"/>
              <w:left w:type="dxa" w:w="110"/>
              <w:bottom w:type="dxa" w:w="80"/>
              <w:right w:type="dxa" w:w="110"/>
            </w:tcMar>
          </w:tcPr>
          <w:p>
            <w:pPr>
              <w:spacing w:after="0"/>
            </w:pPr>
            <w:r>
              <w:rPr>
                <w:sz w:val="17"/>
                <w:szCs w:val="17"/>
              </w:rPr>
              <w:t xml:space="preserve">Fill in docker-compose.yml: organisation name, credentials of the first administrator, programme name, session duration, account lockout thresholds.</w:t>
            </w:r>
          </w:p>
        </w:tc>
        <w:tc>
          <w:tcPr>
            <w:tcW w:type="pct" w:w="28%"/>
            <w:tcMar>
              <w:top w:type="dxa" w:w="80"/>
              <w:left w:type="dxa" w:w="110"/>
              <w:bottom w:type="dxa" w:w="80"/>
              <w:right w:type="dxa" w:w="110"/>
            </w:tcMar>
          </w:tcPr>
          <w:p>
            <w:pPr>
              <w:spacing w:after="0"/>
            </w:pPr>
            <w:r>
              <w:rPr>
                <w:sz w:val="17"/>
                <w:szCs w:val="17"/>
              </w:rPr>
              <w:t xml:space="preserve">The initial administrator password is at least 10 characters long and is not a default value.</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Conforming / Deviation</w:t>
            </w:r>
          </w:p>
        </w:tc>
      </w:tr>
      <w:tr>
        <w:tc>
          <w:tcPr>
            <w:tcW w:type="pct" w:w="7%"/>
            <w:tcMar>
              <w:top w:type="dxa" w:w="80"/>
              <w:left w:type="dxa" w:w="110"/>
              <w:bottom w:type="dxa" w:w="80"/>
              <w:right w:type="dxa" w:w="110"/>
            </w:tcMar>
          </w:tcPr>
          <w:p>
            <w:pPr>
              <w:spacing w:after="0"/>
            </w:pPr>
            <w:r>
              <w:rPr>
                <w:b/>
                <w:bCs/>
                <w:color w:val="4338CA"/>
                <w:sz w:val="17"/>
                <w:szCs w:val="17"/>
              </w:rPr>
              <w:t xml:space="preserve">IQ-04</w:t>
            </w:r>
          </w:p>
        </w:tc>
        <w:tc>
          <w:tcPr>
            <w:tcW w:type="pct" w:w="17%"/>
            <w:tcMar>
              <w:top w:type="dxa" w:w="80"/>
              <w:left w:type="dxa" w:w="110"/>
              <w:bottom w:type="dxa" w:w="80"/>
              <w:right w:type="dxa" w:w="110"/>
            </w:tcMar>
          </w:tcPr>
          <w:p>
            <w:pPr>
              <w:spacing w:after="0"/>
            </w:pPr>
            <w:r>
              <w:rPr>
                <w:b/>
                <w:bCs/>
                <w:sz w:val="17"/>
                <w:szCs w:val="17"/>
              </w:rPr>
              <w:t xml:space="preserve">First start and bootstrap</w:t>
            </w:r>
          </w:p>
        </w:tc>
        <w:tc>
          <w:tcPr>
            <w:tcW w:type="pct" w:w="32%"/>
            <w:tcMar>
              <w:top w:type="dxa" w:w="80"/>
              <w:left w:type="dxa" w:w="110"/>
              <w:bottom w:type="dxa" w:w="80"/>
              <w:right w:type="dxa" w:w="110"/>
            </w:tcMar>
          </w:tcPr>
          <w:p>
            <w:pPr>
              <w:spacing w:after="0"/>
            </w:pPr>
            <w:r>
              <w:rPr>
                <w:sz w:val="17"/>
                <w:szCs w:val="17"/>
              </w:rPr>
              <w:t xml:space="preserve">Run `docker compose up -d` then follow `docker compose logs -f` until the bootstrap completes.</w:t>
            </w:r>
          </w:p>
        </w:tc>
        <w:tc>
          <w:tcPr>
            <w:tcW w:type="pct" w:w="28%"/>
            <w:tcMar>
              <w:top w:type="dxa" w:w="80"/>
              <w:left w:type="dxa" w:w="110"/>
              <w:bottom w:type="dxa" w:w="80"/>
              <w:right w:type="dxa" w:w="110"/>
            </w:tcMar>
          </w:tcPr>
          <w:p>
            <w:pPr>
              <w:spacing w:after="0"/>
            </w:pPr>
            <w:r>
              <w:rPr>
                <w:sz w:val="17"/>
                <w:szCs w:val="17"/>
              </w:rPr>
              <w:t xml:space="preserve">Migrations apply without error, the administrator account, the programme and the standards library are created, and the service reaches the healthy state (healthcheck). Record the version number announced in the log: step IQ-07 will check it against the one displayed by the interface.</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Conforming / Deviation</w:t>
            </w:r>
          </w:p>
        </w:tc>
      </w:tr>
      <w:tr>
        <w:tc>
          <w:tcPr>
            <w:tcW w:type="pct" w:w="7%"/>
            <w:tcMar>
              <w:top w:type="dxa" w:w="80"/>
              <w:left w:type="dxa" w:w="110"/>
              <w:bottom w:type="dxa" w:w="80"/>
              <w:right w:type="dxa" w:w="110"/>
            </w:tcMar>
          </w:tcPr>
          <w:p>
            <w:pPr>
              <w:spacing w:after="0"/>
            </w:pPr>
            <w:r>
              <w:rPr>
                <w:b/>
                <w:bCs/>
                <w:color w:val="4338CA"/>
                <w:sz w:val="17"/>
                <w:szCs w:val="17"/>
              </w:rPr>
              <w:t xml:space="preserve">IQ-05</w:t>
            </w:r>
          </w:p>
        </w:tc>
        <w:tc>
          <w:tcPr>
            <w:tcW w:type="pct" w:w="17%"/>
            <w:tcMar>
              <w:top w:type="dxa" w:w="80"/>
              <w:left w:type="dxa" w:w="110"/>
              <w:bottom w:type="dxa" w:w="80"/>
              <w:right w:type="dxa" w:w="110"/>
            </w:tcMar>
          </w:tcPr>
          <w:p>
            <w:pPr>
              <w:spacing w:after="0"/>
            </w:pPr>
            <w:r>
              <w:rPr>
                <w:b/>
                <w:bCs/>
                <w:sz w:val="17"/>
                <w:szCs w:val="17"/>
              </w:rPr>
              <w:t xml:space="preserve">Application access and enforced renewal</w:t>
            </w:r>
          </w:p>
        </w:tc>
        <w:tc>
          <w:tcPr>
            <w:tcW w:type="pct" w:w="32%"/>
            <w:tcMar>
              <w:top w:type="dxa" w:w="80"/>
              <w:left w:type="dxa" w:w="110"/>
              <w:bottom w:type="dxa" w:w="80"/>
              <w:right w:type="dxa" w:w="110"/>
            </w:tcMar>
          </w:tcPr>
          <w:p>
            <w:pPr>
              <w:spacing w:after="0"/>
            </w:pPr>
            <w:r>
              <w:rPr>
                <w:sz w:val="17"/>
                <w:szCs w:val="17"/>
              </w:rPr>
              <w:t xml:space="preserve">Open the application in a browser and sign in with the administrator account.</w:t>
            </w:r>
          </w:p>
        </w:tc>
        <w:tc>
          <w:tcPr>
            <w:tcW w:type="pct" w:w="28%"/>
            <w:tcMar>
              <w:top w:type="dxa" w:w="80"/>
              <w:left w:type="dxa" w:w="110"/>
              <w:bottom w:type="dxa" w:w="80"/>
              <w:right w:type="dxa" w:w="110"/>
            </w:tcMar>
          </w:tcPr>
          <w:p>
            <w:pPr>
              <w:spacing w:after="0"/>
            </w:pPr>
            <w:r>
              <w:rPr>
                <w:sz w:val="17"/>
                <w:szCs w:val="17"/>
              </w:rPr>
              <w:t xml:space="preserve">Sign-in succeeds, then the password renewal screen is imposed: the bootstrap password comes from the compose file, it is not a secret. No other page is reachable before the change. (Verifies URS-20, URS-30.)</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Conforming / Deviation</w:t>
            </w:r>
          </w:p>
        </w:tc>
      </w:tr>
      <w:tr>
        <w:tc>
          <w:tcPr>
            <w:tcW w:type="pct" w:w="7%"/>
            <w:tcMar>
              <w:top w:type="dxa" w:w="80"/>
              <w:left w:type="dxa" w:w="110"/>
              <w:bottom w:type="dxa" w:w="80"/>
              <w:right w:type="dxa" w:w="110"/>
            </w:tcMar>
          </w:tcPr>
          <w:p>
            <w:pPr>
              <w:spacing w:after="0"/>
            </w:pPr>
            <w:r>
              <w:rPr>
                <w:b/>
                <w:bCs/>
                <w:color w:val="4338CA"/>
                <w:sz w:val="17"/>
                <w:szCs w:val="17"/>
              </w:rPr>
              <w:t xml:space="preserve">IQ-06</w:t>
            </w:r>
          </w:p>
        </w:tc>
        <w:tc>
          <w:tcPr>
            <w:tcW w:type="pct" w:w="17%"/>
            <w:tcMar>
              <w:top w:type="dxa" w:w="80"/>
              <w:left w:type="dxa" w:w="110"/>
              <w:bottom w:type="dxa" w:w="80"/>
              <w:right w:type="dxa" w:w="110"/>
            </w:tcMar>
          </w:tcPr>
          <w:p>
            <w:pPr>
              <w:spacing w:after="0"/>
            </w:pPr>
            <w:r>
              <w:rPr>
                <w:b/>
                <w:bCs/>
                <w:sz w:val="17"/>
                <w:szCs w:val="17"/>
              </w:rPr>
              <w:t xml:space="preserve">Access refused without authentication</w:t>
            </w:r>
          </w:p>
        </w:tc>
        <w:tc>
          <w:tcPr>
            <w:tcW w:type="pct" w:w="32%"/>
            <w:tcMar>
              <w:top w:type="dxa" w:w="80"/>
              <w:left w:type="dxa" w:w="110"/>
              <w:bottom w:type="dxa" w:w="80"/>
              <w:right w:type="dxa" w:w="110"/>
            </w:tcMar>
          </w:tcPr>
          <w:p>
            <w:pPr>
              <w:spacing w:after="0"/>
            </w:pPr>
            <w:r>
              <w:rPr>
                <w:sz w:val="17"/>
                <w:szCs w:val="17"/>
              </w:rPr>
              <w:t xml:space="preserve">From a private browsing window, call the root address then a document download route.</w:t>
            </w:r>
          </w:p>
        </w:tc>
        <w:tc>
          <w:tcPr>
            <w:tcW w:type="pct" w:w="28%"/>
            <w:tcMar>
              <w:top w:type="dxa" w:w="80"/>
              <w:left w:type="dxa" w:w="110"/>
              <w:bottom w:type="dxa" w:w="80"/>
              <w:right w:type="dxa" w:w="110"/>
            </w:tcMar>
          </w:tcPr>
          <w:p>
            <w:pPr>
              <w:spacing w:after="0"/>
            </w:pPr>
            <w:r>
              <w:rPr>
                <w:sz w:val="17"/>
                <w:szCs w:val="17"/>
              </w:rPr>
              <w:t xml:space="preserve">Both display the sign-in screen instead of the content requested: no design-file data appears — no organisation name, no programme name. (Verifies URS-01.)</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Conforming / Deviation</w:t>
            </w:r>
          </w:p>
        </w:tc>
      </w:tr>
      <w:tr>
        <w:tc>
          <w:tcPr>
            <w:tcW w:type="pct" w:w="7%"/>
            <w:tcMar>
              <w:top w:type="dxa" w:w="80"/>
              <w:left w:type="dxa" w:w="110"/>
              <w:bottom w:type="dxa" w:w="80"/>
              <w:right w:type="dxa" w:w="110"/>
            </w:tcMar>
          </w:tcPr>
          <w:p>
            <w:pPr>
              <w:spacing w:after="0"/>
            </w:pPr>
            <w:r>
              <w:rPr>
                <w:b/>
                <w:bCs/>
                <w:color w:val="4338CA"/>
                <w:sz w:val="17"/>
                <w:szCs w:val="17"/>
              </w:rPr>
              <w:t xml:space="preserve">IQ-07</w:t>
            </w:r>
          </w:p>
        </w:tc>
        <w:tc>
          <w:tcPr>
            <w:tcW w:type="pct" w:w="17%"/>
            <w:tcMar>
              <w:top w:type="dxa" w:w="80"/>
              <w:left w:type="dxa" w:w="110"/>
              <w:bottom w:type="dxa" w:w="80"/>
              <w:right w:type="dxa" w:w="110"/>
            </w:tcMar>
          </w:tcPr>
          <w:p>
            <w:pPr>
              <w:spacing w:after="0"/>
            </w:pPr>
            <w:r>
              <w:rPr>
                <w:b/>
                <w:bCs/>
                <w:sz w:val="17"/>
                <w:szCs w:val="17"/>
              </w:rPr>
              <w:t xml:space="preserve">Change of the bootstrap password, and delivered version</w:t>
            </w:r>
          </w:p>
        </w:tc>
        <w:tc>
          <w:tcPr>
            <w:tcW w:type="pct" w:w="32%"/>
            <w:tcMar>
              <w:top w:type="dxa" w:w="80"/>
              <w:left w:type="dxa" w:w="110"/>
              <w:bottom w:type="dxa" w:w="80"/>
              <w:right w:type="dxa" w:w="110"/>
            </w:tcMar>
          </w:tcPr>
          <w:p>
            <w:pPr>
              <w:spacing w:after="0"/>
            </w:pPr>
            <w:r>
              <w:rPr>
                <w:sz w:val="17"/>
                <w:szCs w:val="17"/>
              </w:rPr>
              <w:t xml:space="preserve">On the renewal screen imposed at the previous step, enter a new password. Then record the version number displayed at the foot of the sidebar.</w:t>
            </w:r>
          </w:p>
        </w:tc>
        <w:tc>
          <w:tcPr>
            <w:tcW w:type="pct" w:w="28%"/>
            <w:tcMar>
              <w:top w:type="dxa" w:w="80"/>
              <w:left w:type="dxa" w:w="110"/>
              <w:bottom w:type="dxa" w:w="80"/>
              <w:right w:type="dxa" w:w="110"/>
            </w:tcMar>
          </w:tcPr>
          <w:p>
            <w:pPr>
              <w:spacing w:after="0"/>
            </w:pPr>
            <w:r>
              <w:rPr>
                <w:sz w:val="17"/>
                <w:szCs w:val="17"/>
              </w:rPr>
              <w:t xml:space="preserve">The change succeeds, signing in again with the old password fails, and the version number recorded is that of the delivery — IDENTICAL to the one announced in the log at step IQ-04. Without this step, signatures are not attributable to the holder alone.</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Conforming / Deviation</w:t>
            </w:r>
          </w:p>
        </w:tc>
      </w:tr>
      <w:tr>
        <w:tc>
          <w:tcPr>
            <w:tcW w:type="pct" w:w="7%"/>
            <w:tcMar>
              <w:top w:type="dxa" w:w="80"/>
              <w:left w:type="dxa" w:w="110"/>
              <w:bottom w:type="dxa" w:w="80"/>
              <w:right w:type="dxa" w:w="110"/>
            </w:tcMar>
          </w:tcPr>
          <w:p>
            <w:pPr>
              <w:spacing w:after="0"/>
            </w:pPr>
            <w:r>
              <w:rPr>
                <w:b/>
                <w:bCs/>
                <w:color w:val="4338CA"/>
                <w:sz w:val="17"/>
                <w:szCs w:val="17"/>
              </w:rPr>
              <w:t xml:space="preserve">IQ-08</w:t>
            </w:r>
          </w:p>
        </w:tc>
        <w:tc>
          <w:tcPr>
            <w:tcW w:type="pct" w:w="17%"/>
            <w:tcMar>
              <w:top w:type="dxa" w:w="80"/>
              <w:left w:type="dxa" w:w="110"/>
              <w:bottom w:type="dxa" w:w="80"/>
              <w:right w:type="dxa" w:w="110"/>
            </w:tcMar>
          </w:tcPr>
          <w:p>
            <w:pPr>
              <w:spacing w:after="0"/>
            </w:pPr>
            <w:r>
              <w:rPr>
                <w:b/>
                <w:bCs/>
                <w:sz w:val="17"/>
                <w:szCs w:val="17"/>
              </w:rPr>
              <w:t xml:space="preserve">Volume persistence</w:t>
            </w:r>
          </w:p>
        </w:tc>
        <w:tc>
          <w:tcPr>
            <w:tcW w:type="pct" w:w="32%"/>
            <w:tcMar>
              <w:top w:type="dxa" w:w="80"/>
              <w:left w:type="dxa" w:w="110"/>
              <w:bottom w:type="dxa" w:w="80"/>
              <w:right w:type="dxa" w:w="110"/>
            </w:tcMar>
          </w:tcPr>
          <w:p>
            <w:pPr>
              <w:spacing w:after="0"/>
            </w:pPr>
            <w:r>
              <w:rPr>
                <w:sz w:val="17"/>
                <w:szCs w:val="17"/>
              </w:rPr>
              <w:t xml:space="preserve">Restart the container (`docker compose restart filum`) then sign in again.</w:t>
            </w:r>
          </w:p>
        </w:tc>
        <w:tc>
          <w:tcPr>
            <w:tcW w:type="pct" w:w="28%"/>
            <w:tcMar>
              <w:top w:type="dxa" w:w="80"/>
              <w:left w:type="dxa" w:w="110"/>
              <w:bottom w:type="dxa" w:w="80"/>
              <w:right w:type="dxa" w:w="110"/>
            </w:tcMar>
          </w:tcPr>
          <w:p>
            <w:pPr>
              <w:spacing w:after="0"/>
            </w:pPr>
            <w:r>
              <w:rPr>
                <w:sz w:val="17"/>
                <w:szCs w:val="17"/>
              </w:rPr>
              <w:t xml:space="preserve">The account, the programme and the standards are still present: the data and file volumes are correctly mounted.</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Conforming / Deviation</w:t>
            </w:r>
          </w:p>
        </w:tc>
      </w:tr>
      <w:tr>
        <w:tc>
          <w:tcPr>
            <w:tcW w:type="pct" w:w="7%"/>
            <w:tcMar>
              <w:top w:type="dxa" w:w="80"/>
              <w:left w:type="dxa" w:w="110"/>
              <w:bottom w:type="dxa" w:w="80"/>
              <w:right w:type="dxa" w:w="110"/>
            </w:tcMar>
          </w:tcPr>
          <w:p>
            <w:pPr>
              <w:spacing w:after="0"/>
            </w:pPr>
            <w:r>
              <w:rPr>
                <w:b/>
                <w:bCs/>
                <w:color w:val="4338CA"/>
                <w:sz w:val="17"/>
                <w:szCs w:val="17"/>
              </w:rPr>
              <w:t xml:space="preserve">IQ-09</w:t>
            </w:r>
          </w:p>
        </w:tc>
        <w:tc>
          <w:tcPr>
            <w:tcW w:type="pct" w:w="17%"/>
            <w:tcMar>
              <w:top w:type="dxa" w:w="80"/>
              <w:left w:type="dxa" w:w="110"/>
              <w:bottom w:type="dxa" w:w="80"/>
              <w:right w:type="dxa" w:w="110"/>
            </w:tcMar>
          </w:tcPr>
          <w:p>
            <w:pPr>
              <w:spacing w:after="0"/>
            </w:pPr>
            <w:r>
              <w:rPr>
                <w:b/>
                <w:bCs/>
                <w:sz w:val="17"/>
                <w:szCs w:val="17"/>
              </w:rPr>
              <w:t xml:space="preserve">Backup proven</w:t>
            </w:r>
          </w:p>
        </w:tc>
        <w:tc>
          <w:tcPr>
            <w:tcW w:type="pct" w:w="32%"/>
            <w:tcMar>
              <w:top w:type="dxa" w:w="80"/>
              <w:left w:type="dxa" w:w="110"/>
              <w:bottom w:type="dxa" w:w="80"/>
              <w:right w:type="dxa" w:w="110"/>
            </w:tcMar>
          </w:tcPr>
          <w:p>
            <w:pPr>
              <w:spacing w:after="0"/>
            </w:pPr>
            <w:r>
              <w:rPr>
                <w:sz w:val="17"/>
                <w:szCs w:val="17"/>
              </w:rPr>
              <w:t xml:space="preserve">Run the cold backup procedure for BOTH volumes (database and files), then the archive checks documented in the installation guide.</w:t>
            </w:r>
          </w:p>
        </w:tc>
        <w:tc>
          <w:tcPr>
            <w:tcW w:type="pct" w:w="28%"/>
            <w:tcMar>
              <w:top w:type="dxa" w:w="80"/>
              <w:left w:type="dxa" w:w="110"/>
              <w:bottom w:type="dxa" w:w="80"/>
              <w:right w:type="dxa" w:w="110"/>
            </w:tcMar>
          </w:tcPr>
          <w:p>
            <w:pPr>
              <w:spacing w:after="0"/>
            </w:pPr>
            <w:r>
              <w:rPr>
                <w:sz w:val="17"/>
                <w:szCs w:val="17"/>
              </w:rPr>
              <w:t xml:space="preserve">Both volumes exist BEFORE the backup (the preliminary check says so), both archives are produced, and the database archive contains filum.db. The number of archived records is recorded: on an installation in service, zero is a signal.</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Conforming / Deviation</w:t>
            </w:r>
          </w:p>
        </w:tc>
      </w:tr>
      <w:tr>
        <w:tc>
          <w:tcPr>
            <w:tcW w:type="pct" w:w="7%"/>
            <w:tcMar>
              <w:top w:type="dxa" w:w="80"/>
              <w:left w:type="dxa" w:w="110"/>
              <w:bottom w:type="dxa" w:w="80"/>
              <w:right w:type="dxa" w:w="110"/>
            </w:tcMar>
          </w:tcPr>
          <w:p>
            <w:pPr>
              <w:spacing w:after="0"/>
            </w:pPr>
            <w:r>
              <w:rPr>
                <w:b/>
                <w:bCs/>
                <w:color w:val="4338CA"/>
                <w:sz w:val="17"/>
                <w:szCs w:val="17"/>
              </w:rPr>
              <w:t xml:space="preserve">IQ-10</w:t>
            </w:r>
          </w:p>
        </w:tc>
        <w:tc>
          <w:tcPr>
            <w:tcW w:type="pct" w:w="17%"/>
            <w:tcMar>
              <w:top w:type="dxa" w:w="80"/>
              <w:left w:type="dxa" w:w="110"/>
              <w:bottom w:type="dxa" w:w="80"/>
              <w:right w:type="dxa" w:w="110"/>
            </w:tcMar>
          </w:tcPr>
          <w:p>
            <w:pPr>
              <w:spacing w:after="0"/>
            </w:pPr>
            <w:r>
              <w:rPr>
                <w:b/>
                <w:bCs/>
                <w:sz w:val="17"/>
                <w:szCs w:val="17"/>
              </w:rPr>
              <w:t xml:space="preserve">Restore proven</w:t>
            </w:r>
          </w:p>
        </w:tc>
        <w:tc>
          <w:tcPr>
            <w:tcW w:type="pct" w:w="32%"/>
            <w:tcMar>
              <w:top w:type="dxa" w:w="80"/>
              <w:left w:type="dxa" w:w="110"/>
              <w:bottom w:type="dxa" w:w="80"/>
              <w:right w:type="dxa" w:w="110"/>
            </w:tcMar>
          </w:tcPr>
          <w:p>
            <w:pPr>
              <w:spacing w:after="0"/>
            </w:pPr>
            <w:r>
              <w:rPr>
                <w:sz w:val="17"/>
                <w:szCs w:val="17"/>
              </w:rPr>
              <w:t xml:space="preserve">On an environment separate from production, restore both archives and start the service.</w:t>
            </w:r>
          </w:p>
        </w:tc>
        <w:tc>
          <w:tcPr>
            <w:tcW w:type="pct" w:w="28%"/>
            <w:tcMar>
              <w:top w:type="dxa" w:w="80"/>
              <w:left w:type="dxa" w:w="110"/>
              <w:bottom w:type="dxa" w:w="80"/>
              <w:right w:type="dxa" w:w="110"/>
            </w:tcMar>
          </w:tcPr>
          <w:p>
            <w:pPr>
              <w:spacing w:after="0"/>
            </w:pPr>
            <w:r>
              <w:rPr>
                <w:sz w:val="17"/>
                <w:szCs w:val="17"/>
              </w:rPr>
              <w:t xml:space="preserve">The application starts and the restored data is that of the backup. A backup never restored is not a backup.</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Conforming / Deviation</w:t>
            </w:r>
          </w:p>
        </w:tc>
      </w:tr>
      <w:tr>
        <w:tc>
          <w:tcPr>
            <w:tcW w:type="pct" w:w="7%"/>
            <w:tcMar>
              <w:top w:type="dxa" w:w="80"/>
              <w:left w:type="dxa" w:w="110"/>
              <w:bottom w:type="dxa" w:w="80"/>
              <w:right w:type="dxa" w:w="110"/>
            </w:tcMar>
          </w:tcPr>
          <w:p>
            <w:pPr>
              <w:spacing w:after="0"/>
            </w:pPr>
            <w:r>
              <w:rPr>
                <w:b/>
                <w:bCs/>
                <w:color w:val="4338CA"/>
                <w:sz w:val="17"/>
                <w:szCs w:val="17"/>
              </w:rPr>
              <w:t xml:space="preserve">IQ-11</w:t>
            </w:r>
          </w:p>
        </w:tc>
        <w:tc>
          <w:tcPr>
            <w:tcW w:type="pct" w:w="17%"/>
            <w:tcMar>
              <w:top w:type="dxa" w:w="80"/>
              <w:left w:type="dxa" w:w="110"/>
              <w:bottom w:type="dxa" w:w="80"/>
              <w:right w:type="dxa" w:w="110"/>
            </w:tcMar>
          </w:tcPr>
          <w:p>
            <w:pPr>
              <w:spacing w:after="0"/>
            </w:pPr>
            <w:r>
              <w:rPr>
                <w:b/>
                <w:bCs/>
                <w:sz w:val="17"/>
                <w:szCs w:val="17"/>
              </w:rPr>
              <w:t xml:space="preserve">Encrypted access</w:t>
            </w:r>
          </w:p>
        </w:tc>
        <w:tc>
          <w:tcPr>
            <w:tcW w:type="pct" w:w="32%"/>
            <w:tcMar>
              <w:top w:type="dxa" w:w="80"/>
              <w:left w:type="dxa" w:w="110"/>
              <w:bottom w:type="dxa" w:w="80"/>
              <w:right w:type="dxa" w:w="110"/>
            </w:tcMar>
          </w:tcPr>
          <w:p>
            <w:pPr>
              <w:spacing w:after="0"/>
            </w:pPr>
            <w:r>
              <w:rPr>
                <w:sz w:val="17"/>
                <w:szCs w:val="17"/>
              </w:rPr>
              <w:t xml:space="preserve">Place the service behind the reverse proxy carrying the TLS certificate and check access over HTTPS.</w:t>
            </w:r>
          </w:p>
        </w:tc>
        <w:tc>
          <w:tcPr>
            <w:tcW w:type="pct" w:w="28%"/>
            <w:tcMar>
              <w:top w:type="dxa" w:w="80"/>
              <w:left w:type="dxa" w:w="110"/>
              <w:bottom w:type="dxa" w:w="80"/>
              <w:right w:type="dxa" w:w="110"/>
            </w:tcMar>
          </w:tcPr>
          <w:p>
            <w:pPr>
              <w:spacing w:after="0"/>
            </w:pPr>
            <w:r>
              <w:rPr>
                <w:sz w:val="17"/>
                <w:szCs w:val="17"/>
              </w:rPr>
              <w:t xml:space="preserve">The application answers over HTTPS and the session cookie carries the “secure” flag.</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Conforming / Deviation</w:t>
            </w:r>
          </w:p>
        </w:tc>
      </w:tr>
      <w:tr>
        <w:tc>
          <w:tcPr>
            <w:tcW w:type="pct" w:w="7%"/>
            <w:tcMar>
              <w:top w:type="dxa" w:w="80"/>
              <w:left w:type="dxa" w:w="110"/>
              <w:bottom w:type="dxa" w:w="80"/>
              <w:right w:type="dxa" w:w="110"/>
            </w:tcMar>
          </w:tcPr>
          <w:p>
            <w:pPr>
              <w:spacing w:after="0"/>
            </w:pPr>
            <w:r>
              <w:rPr>
                <w:b/>
                <w:bCs/>
                <w:color w:val="4338CA"/>
                <w:sz w:val="17"/>
                <w:szCs w:val="17"/>
              </w:rPr>
              <w:t xml:space="preserve">IQ-12</w:t>
            </w:r>
          </w:p>
        </w:tc>
        <w:tc>
          <w:tcPr>
            <w:tcW w:type="pct" w:w="17%"/>
            <w:tcMar>
              <w:top w:type="dxa" w:w="80"/>
              <w:left w:type="dxa" w:w="110"/>
              <w:bottom w:type="dxa" w:w="80"/>
              <w:right w:type="dxa" w:w="110"/>
            </w:tcMar>
          </w:tcPr>
          <w:p>
            <w:pPr>
              <w:spacing w:after="0"/>
            </w:pPr>
            <w:r>
              <w:rPr>
                <w:b/>
                <w:bCs/>
                <w:sz w:val="17"/>
                <w:szCs w:val="17"/>
              </w:rPr>
              <w:t xml:space="preserve">Restriction of direct access to the data</w:t>
            </w:r>
          </w:p>
        </w:tc>
        <w:tc>
          <w:tcPr>
            <w:tcW w:type="pct" w:w="32%"/>
            <w:tcMar>
              <w:top w:type="dxa" w:w="80"/>
              <w:left w:type="dxa" w:w="110"/>
              <w:bottom w:type="dxa" w:w="80"/>
              <w:right w:type="dxa" w:w="110"/>
            </w:tcMar>
          </w:tcPr>
          <w:p>
            <w:pPr>
              <w:spacing w:after="0"/>
            </w:pPr>
            <w:r>
              <w:rPr>
                <w:sz w:val="17"/>
                <w:szCs w:val="17"/>
              </w:rPr>
              <w:t xml:space="preserve">Check who, within your organisation, holds system access to the database volume and to the file volume.</w:t>
            </w:r>
          </w:p>
        </w:tc>
        <w:tc>
          <w:tcPr>
            <w:tcW w:type="pct" w:w="28%"/>
            <w:tcMar>
              <w:top w:type="dxa" w:w="80"/>
              <w:left w:type="dxa" w:w="110"/>
              <w:bottom w:type="dxa" w:w="80"/>
              <w:right w:type="dxa" w:w="110"/>
            </w:tcMar>
          </w:tcPr>
          <w:p>
            <w:pPr>
              <w:spacing w:after="0"/>
            </w:pPr>
            <w:r>
              <w:rPr>
                <w:sz w:val="17"/>
                <w:szCs w:val="17"/>
              </w:rPr>
              <w:t xml:space="preserve">The list is settled, names individuals, and is limited to system administrators. Application controls do not apply to writes made outside the application.</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Conforming / Deviation</w:t>
            </w:r>
          </w:p>
        </w:tc>
      </w:tr>
      <w:tr>
        <w:tc>
          <w:tcPr>
            <w:tcW w:type="pct" w:w="7%"/>
            <w:tcMar>
              <w:top w:type="dxa" w:w="80"/>
              <w:left w:type="dxa" w:w="110"/>
              <w:bottom w:type="dxa" w:w="80"/>
              <w:right w:type="dxa" w:w="110"/>
            </w:tcMar>
          </w:tcPr>
          <w:p>
            <w:pPr>
              <w:spacing w:after="0"/>
            </w:pPr>
            <w:r>
              <w:rPr>
                <w:b/>
                <w:bCs/>
                <w:color w:val="4338CA"/>
                <w:sz w:val="17"/>
                <w:szCs w:val="17"/>
              </w:rPr>
              <w:t xml:space="preserve">IQ-13</w:t>
            </w:r>
          </w:p>
        </w:tc>
        <w:tc>
          <w:tcPr>
            <w:tcW w:type="pct" w:w="17%"/>
            <w:tcMar>
              <w:top w:type="dxa" w:w="80"/>
              <w:left w:type="dxa" w:w="110"/>
              <w:bottom w:type="dxa" w:w="80"/>
              <w:right w:type="dxa" w:w="110"/>
            </w:tcMar>
          </w:tcPr>
          <w:p>
            <w:pPr>
              <w:spacing w:after="0"/>
            </w:pPr>
            <w:r>
              <w:rPr>
                <w:b/>
                <w:bCs/>
                <w:sz w:val="17"/>
                <w:szCs w:val="17"/>
              </w:rPr>
              <w:t xml:space="preserve">Backup scheduling</w:t>
            </w:r>
          </w:p>
        </w:tc>
        <w:tc>
          <w:tcPr>
            <w:tcW w:type="pct" w:w="32%"/>
            <w:tcMar>
              <w:top w:type="dxa" w:w="80"/>
              <w:left w:type="dxa" w:w="110"/>
              <w:bottom w:type="dxa" w:w="80"/>
              <w:right w:type="dxa" w:w="110"/>
            </w:tcMar>
          </w:tcPr>
          <w:p>
            <w:pPr>
              <w:spacing w:after="0"/>
            </w:pPr>
            <w:r>
              <w:rPr>
                <w:sz w:val="17"/>
                <w:szCs w:val="17"/>
              </w:rPr>
              <w:t xml:space="preserve">Set up the scheduled backup task according to your retention policy and check one automatic execution.</w:t>
            </w:r>
          </w:p>
        </w:tc>
        <w:tc>
          <w:tcPr>
            <w:tcW w:type="pct" w:w="28%"/>
            <w:tcMar>
              <w:top w:type="dxa" w:w="80"/>
              <w:left w:type="dxa" w:w="110"/>
              <w:bottom w:type="dxa" w:w="80"/>
              <w:right w:type="dxa" w:w="110"/>
            </w:tcMar>
          </w:tcPr>
          <w:p>
            <w:pPr>
              <w:spacing w:after="0"/>
            </w:pPr>
            <w:r>
              <w:rPr>
                <w:sz w:val="17"/>
                <w:szCs w:val="17"/>
              </w:rPr>
              <w:t xml:space="preserve">An automatic backup has run and its archive passes the checks of step IQ-09.</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Conforming / Deviation</w:t>
            </w:r>
          </w:p>
        </w:tc>
      </w:tr>
    </w:tbl>
    <w:p>
      <w:pPr>
        <w:pStyle w:val="Heading2"/>
        <w:spacing w:after="140" w:before="320"/>
      </w:pPr>
      <w:r>
        <w:t xml:space="preserve">4. Deviations recorded</w:t>
      </w:r>
    </w:p>
    <w:p>
      <w:pPr>
        <w:spacing w:after="140"/>
      </w:pPr>
      <w:r>
        <w:rPr>
          <w:sz w:val="20"/>
          <w:szCs w:val="20"/>
        </w:rPr>
        <w:t xml:space="preserve">Record here every deviation, its justification and the measure adopted. “No deviation” is written explicitly.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shd w:fill="E0E7FF"/>
            <w:tcMar>
              <w:top w:type="dxa" w:w="80"/>
              <w:left w:type="dxa" w:w="110"/>
              <w:bottom w:type="dxa" w:w="80"/>
              <w:right w:type="dxa" w:w="110"/>
            </w:tcMar>
          </w:tcPr>
          <w:p>
            <w:pPr>
              <w:spacing w:after="0"/>
            </w:pPr>
            <w:r>
              <w:rPr>
                <w:b/>
                <w:bCs/>
                <w:sz w:val="17"/>
                <w:szCs w:val="17"/>
              </w:rPr>
              <w:t xml:space="preserve">Step ref.</w:t>
            </w:r>
          </w:p>
        </w:tc>
        <w:tc>
          <w:tcPr>
            <w:tcW w:type="pct" w:w="43%"/>
            <w:shd w:fill="E0E7FF"/>
            <w:tcMar>
              <w:top w:type="dxa" w:w="80"/>
              <w:left w:type="dxa" w:w="110"/>
              <w:bottom w:type="dxa" w:w="80"/>
              <w:right w:type="dxa" w:w="110"/>
            </w:tcMar>
          </w:tcPr>
          <w:p>
            <w:pPr>
              <w:spacing w:after="0"/>
            </w:pPr>
            <w:r>
              <w:rPr>
                <w:b/>
                <w:bCs/>
                <w:sz w:val="17"/>
                <w:szCs w:val="17"/>
              </w:rPr>
              <w:t xml:space="preserve">Deviation recorded</w:t>
            </w:r>
          </w:p>
        </w:tc>
        <w:tc>
          <w:tcPr>
            <w:tcW w:type="pct" w:w="43%"/>
            <w:shd w:fill="E0E7FF"/>
            <w:tcMar>
              <w:top w:type="dxa" w:w="80"/>
              <w:left w:type="dxa" w:w="110"/>
              <w:bottom w:type="dxa" w:w="80"/>
              <w:right w:type="dxa" w:w="110"/>
            </w:tcMar>
          </w:tcPr>
          <w:p>
            <w:pPr>
              <w:spacing w:after="0"/>
            </w:pPr>
            <w:r>
              <w:rPr>
                <w:b/>
                <w:bCs/>
                <w:sz w:val="17"/>
                <w:szCs w:val="17"/>
              </w:rPr>
              <w:t xml:space="preserve">Justification / measure adopted</w:t>
            </w:r>
          </w:p>
        </w:tc>
      </w:tr>
      <w:tr>
        <w:tc>
          <w:tcPr>
            <w:tcW w:type="pct" w:w="14%"/>
            <w:tcMar>
              <w:top w:type="dxa" w:w="80"/>
              <w:left w:type="dxa" w:w="110"/>
              <w:bottom w:type="dxa" w:w="80"/>
              <w:right w:type="dxa" w:w="110"/>
            </w:tcMar>
          </w:tcPr>
          <w:p>
            <w:pPr>
              <w:spacing w:after="0"/>
            </w:pPr>
            <w:r>
              <w:rPr>
                <w:sz w:val="17"/>
                <w:szCs w:val="17"/>
              </w:rPr>
              <w:t xml:space="preserve"> </w:t>
            </w:r>
          </w:p>
        </w:tc>
        <w:tc>
          <w:tcPr>
            <w:tcW w:type="pct" w:w="43%"/>
            <w:tcMar>
              <w:top w:type="dxa" w:w="80"/>
              <w:left w:type="dxa" w:w="110"/>
              <w:bottom w:type="dxa" w:w="80"/>
              <w:right w:type="dxa" w:w="110"/>
            </w:tcMar>
          </w:tcPr>
          <w:p>
            <w:pPr>
              <w:spacing w:after="0"/>
            </w:pPr>
            <w:r>
              <w:rPr>
                <w:sz w:val="17"/>
                <w:szCs w:val="17"/>
              </w:rPr>
              <w:t xml:space="preserve"> </w:t>
            </w:r>
          </w:p>
        </w:tc>
        <w:tc>
          <w:tcPr>
            <w:tcW w:type="pct" w:w="43%"/>
            <w:tcMar>
              <w:top w:type="dxa" w:w="80"/>
              <w:left w:type="dxa" w:w="110"/>
              <w:bottom w:type="dxa" w:w="80"/>
              <w:right w:type="dxa" w:w="110"/>
            </w:tcMar>
          </w:tcPr>
          <w:p>
            <w:pPr>
              <w:spacing w:after="0"/>
            </w:pPr>
            <w:r>
              <w:rPr>
                <w:sz w:val="17"/>
                <w:szCs w:val="17"/>
              </w:rPr>
              <w:t xml:space="preserve"> </w:t>
            </w:r>
          </w:p>
        </w:tc>
      </w:tr>
      <w:tr>
        <w:tc>
          <w:tcPr>
            <w:tcW w:type="pct" w:w="14%"/>
            <w:tcMar>
              <w:top w:type="dxa" w:w="80"/>
              <w:left w:type="dxa" w:w="110"/>
              <w:bottom w:type="dxa" w:w="80"/>
              <w:right w:type="dxa" w:w="110"/>
            </w:tcMar>
          </w:tcPr>
          <w:p>
            <w:pPr>
              <w:spacing w:after="0"/>
            </w:pPr>
            <w:r>
              <w:rPr>
                <w:sz w:val="17"/>
                <w:szCs w:val="17"/>
              </w:rPr>
              <w:t xml:space="preserve"> </w:t>
            </w:r>
          </w:p>
        </w:tc>
        <w:tc>
          <w:tcPr>
            <w:tcW w:type="pct" w:w="43%"/>
            <w:tcMar>
              <w:top w:type="dxa" w:w="80"/>
              <w:left w:type="dxa" w:w="110"/>
              <w:bottom w:type="dxa" w:w="80"/>
              <w:right w:type="dxa" w:w="110"/>
            </w:tcMar>
          </w:tcPr>
          <w:p>
            <w:pPr>
              <w:spacing w:after="0"/>
            </w:pPr>
            <w:r>
              <w:rPr>
                <w:sz w:val="17"/>
                <w:szCs w:val="17"/>
              </w:rPr>
              <w:t xml:space="preserve"> </w:t>
            </w:r>
          </w:p>
        </w:tc>
        <w:tc>
          <w:tcPr>
            <w:tcW w:type="pct" w:w="43%"/>
            <w:tcMar>
              <w:top w:type="dxa" w:w="80"/>
              <w:left w:type="dxa" w:w="110"/>
              <w:bottom w:type="dxa" w:w="80"/>
              <w:right w:type="dxa" w:w="110"/>
            </w:tcMar>
          </w:tcPr>
          <w:p>
            <w:pPr>
              <w:spacing w:after="0"/>
            </w:pPr>
            <w:r>
              <w:rPr>
                <w:sz w:val="17"/>
                <w:szCs w:val="17"/>
              </w:rPr>
              <w:t xml:space="preserve"> </w:t>
            </w:r>
          </w:p>
        </w:tc>
      </w:tr>
      <w:tr>
        <w:tc>
          <w:tcPr>
            <w:tcW w:type="pct" w:w="14%"/>
            <w:tcMar>
              <w:top w:type="dxa" w:w="80"/>
              <w:left w:type="dxa" w:w="110"/>
              <w:bottom w:type="dxa" w:w="80"/>
              <w:right w:type="dxa" w:w="110"/>
            </w:tcMar>
          </w:tcPr>
          <w:p>
            <w:pPr>
              <w:spacing w:after="0"/>
            </w:pPr>
            <w:r>
              <w:rPr>
                <w:sz w:val="17"/>
                <w:szCs w:val="17"/>
              </w:rPr>
              <w:t xml:space="preserve"> </w:t>
            </w:r>
          </w:p>
        </w:tc>
        <w:tc>
          <w:tcPr>
            <w:tcW w:type="pct" w:w="43%"/>
            <w:tcMar>
              <w:top w:type="dxa" w:w="80"/>
              <w:left w:type="dxa" w:w="110"/>
              <w:bottom w:type="dxa" w:w="80"/>
              <w:right w:type="dxa" w:w="110"/>
            </w:tcMar>
          </w:tcPr>
          <w:p>
            <w:pPr>
              <w:spacing w:after="0"/>
            </w:pPr>
            <w:r>
              <w:rPr>
                <w:sz w:val="17"/>
                <w:szCs w:val="17"/>
              </w:rPr>
              <w:t xml:space="preserve"> </w:t>
            </w:r>
          </w:p>
        </w:tc>
        <w:tc>
          <w:tcPr>
            <w:tcW w:type="pct" w:w="43%"/>
            <w:tcMar>
              <w:top w:type="dxa" w:w="80"/>
              <w:left w:type="dxa" w:w="110"/>
              <w:bottom w:type="dxa" w:w="80"/>
              <w:right w:type="dxa" w:w="110"/>
            </w:tcMar>
          </w:tcPr>
          <w:p>
            <w:pPr>
              <w:spacing w:after="0"/>
            </w:pPr>
            <w:r>
              <w:rPr>
                <w:sz w:val="17"/>
                <w:szCs w:val="17"/>
              </w:rPr>
              <w:t xml:space="preserve"> </w:t>
            </w:r>
          </w:p>
        </w:tc>
      </w:tr>
    </w:tbl>
    <w:p>
      <w:pPr>
        <w:pStyle w:val="Heading1"/>
        <w:spacing w:after="140" w:before="320"/>
      </w:pPr>
      <w:r>
        <w:t xml:space="preserve">5. Conclusion and signatures</w:t>
      </w:r>
    </w:p>
    <w:p>
      <w:pPr>
        <w:spacing w:after="160"/>
      </w:pPr>
      <w:r>
        <w:rPr>
          <w:sz w:val="20"/>
          <w:szCs w:val="20"/>
        </w:rPr>
        <w:t xml:space="preserve">The installation described in section 2 is declared qualified for service, subject to the deviations recorded in section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4%"/>
            <w:shd w:fill="E0E7FF"/>
            <w:tcMar>
              <w:top w:type="dxa" w:w="80"/>
              <w:left w:type="dxa" w:w="110"/>
              <w:bottom w:type="dxa" w:w="80"/>
              <w:right w:type="dxa" w:w="110"/>
            </w:tcMar>
          </w:tcPr>
          <w:p>
            <w:pPr>
              <w:spacing w:after="0"/>
            </w:pPr>
            <w:r>
              <w:rPr>
                <w:b/>
                <w:bCs/>
                <w:sz w:val="17"/>
                <w:szCs w:val="17"/>
              </w:rPr>
              <w:t xml:space="preserve">Role</w:t>
            </w:r>
          </w:p>
        </w:tc>
        <w:tc>
          <w:tcPr>
            <w:tcW w:type="pct" w:w="30%"/>
            <w:shd w:fill="E0E7FF"/>
            <w:tcMar>
              <w:top w:type="dxa" w:w="80"/>
              <w:left w:type="dxa" w:w="110"/>
              <w:bottom w:type="dxa" w:w="80"/>
              <w:right w:type="dxa" w:w="110"/>
            </w:tcMar>
          </w:tcPr>
          <w:p>
            <w:pPr>
              <w:spacing w:after="0"/>
            </w:pPr>
            <w:r>
              <w:rPr>
                <w:b/>
                <w:bCs/>
                <w:sz w:val="17"/>
                <w:szCs w:val="17"/>
              </w:rPr>
              <w:t xml:space="preserve">Name and function</w:t>
            </w:r>
          </w:p>
        </w:tc>
        <w:tc>
          <w:tcPr>
            <w:tcW w:type="pct" w:w="16%"/>
            <w:shd w:fill="E0E7FF"/>
            <w:tcMar>
              <w:top w:type="dxa" w:w="80"/>
              <w:left w:type="dxa" w:w="110"/>
              <w:bottom w:type="dxa" w:w="80"/>
              <w:right w:type="dxa" w:w="110"/>
            </w:tcMar>
          </w:tcPr>
          <w:p>
            <w:pPr>
              <w:spacing w:after="0"/>
            </w:pPr>
            <w:r>
              <w:rPr>
                <w:b/>
                <w:bCs/>
                <w:sz w:val="17"/>
                <w:szCs w:val="17"/>
              </w:rPr>
              <w:t xml:space="preserve">Date</w:t>
            </w:r>
          </w:p>
        </w:tc>
        <w:tc>
          <w:tcPr>
            <w:tcW w:type="pct" w:w="30%"/>
            <w:shd w:fill="E0E7FF"/>
            <w:tcMar>
              <w:top w:type="dxa" w:w="80"/>
              <w:left w:type="dxa" w:w="110"/>
              <w:bottom w:type="dxa" w:w="80"/>
              <w:right w:type="dxa" w:w="110"/>
            </w:tcMar>
          </w:tcPr>
          <w:p>
            <w:pPr>
              <w:spacing w:after="0"/>
            </w:pPr>
            <w:r>
              <w:rPr>
                <w:b/>
                <w:bCs/>
                <w:sz w:val="17"/>
                <w:szCs w:val="17"/>
              </w:rPr>
              <w:t xml:space="preserve">Signature</w:t>
            </w:r>
          </w:p>
        </w:tc>
      </w:tr>
      <w:tr>
        <w:tc>
          <w:tcPr>
            <w:tcW w:type="pct" w:w="24%"/>
            <w:tcMar>
              <w:top w:type="dxa" w:w="80"/>
              <w:left w:type="dxa" w:w="110"/>
              <w:bottom w:type="dxa" w:w="80"/>
              <w:right w:type="dxa" w:w="110"/>
            </w:tcMar>
          </w:tcPr>
          <w:p>
            <w:pPr>
              <w:spacing w:after="0"/>
            </w:pPr>
            <w:r>
              <w:rPr>
                <w:b/>
                <w:bCs/>
                <w:sz w:val="17"/>
                <w:szCs w:val="17"/>
              </w:rPr>
              <w:t xml:space="preserve">Executed by (system administration)</w:t>
            </w:r>
          </w:p>
        </w:tc>
        <w:tc>
          <w:tcPr>
            <w:tcW w:type="pct" w:w="30%"/>
            <w:tcMar>
              <w:top w:type="dxa" w:w="80"/>
              <w:left w:type="dxa" w:w="110"/>
              <w:bottom w:type="dxa" w:w="80"/>
              <w:right w:type="dxa" w:w="110"/>
            </w:tcMar>
          </w:tcPr>
          <w:p>
            <w:pPr>
              <w:spacing w:after="120"/>
            </w:pPr>
            <w:r>
              <w:rPr>
                <w:sz w:val="20"/>
                <w:szCs w:val="20"/>
              </w:rPr>
              <w:t xml:space="preserve"> </w:t>
            </w:r>
          </w:p>
        </w:tc>
        <w:tc>
          <w:tcPr>
            <w:tcW w:type="pct" w:w="16%"/>
            <w:tcMar>
              <w:top w:type="dxa" w:w="80"/>
              <w:left w:type="dxa" w:w="110"/>
              <w:bottom w:type="dxa" w:w="80"/>
              <w:right w:type="dxa" w:w="110"/>
            </w:tcMar>
          </w:tcPr>
          <w:p>
            <w:pPr>
              <w:spacing w:after="120"/>
            </w:pPr>
            <w:r>
              <w:rPr>
                <w:sz w:val="20"/>
                <w:szCs w:val="20"/>
              </w:rPr>
              <w:t xml:space="preserve"> </w:t>
            </w:r>
          </w:p>
        </w:tc>
        <w:tc>
          <w:tcPr>
            <w:tcW w:type="pct" w:w="30%"/>
            <w:tcMar>
              <w:top w:type="dxa" w:w="80"/>
              <w:left w:type="dxa" w:w="110"/>
              <w:bottom w:type="dxa" w:w="80"/>
              <w:right w:type="dxa" w:w="110"/>
            </w:tcMar>
          </w:tcPr>
          <w:p>
            <w:pPr>
              <w:spacing w:after="120"/>
            </w:pPr>
            <w:r>
              <w:rPr>
                <w:sz w:val="20"/>
                <w:szCs w:val="20"/>
              </w:rPr>
              <w:t xml:space="preserve"> </w:t>
            </w:r>
          </w:p>
        </w:tc>
      </w:tr>
      <w:tr>
        <w:tc>
          <w:tcPr>
            <w:tcW w:type="pct" w:w="24%"/>
            <w:tcMar>
              <w:top w:type="dxa" w:w="80"/>
              <w:left w:type="dxa" w:w="110"/>
              <w:bottom w:type="dxa" w:w="80"/>
              <w:right w:type="dxa" w:w="110"/>
            </w:tcMar>
          </w:tcPr>
          <w:p>
            <w:pPr>
              <w:spacing w:after="0"/>
            </w:pPr>
            <w:r>
              <w:rPr>
                <w:b/>
                <w:bCs/>
                <w:sz w:val="17"/>
                <w:szCs w:val="17"/>
              </w:rPr>
              <w:t xml:space="preserve">Checked by</w:t>
            </w:r>
          </w:p>
        </w:tc>
        <w:tc>
          <w:tcPr>
            <w:tcW w:type="pct" w:w="30%"/>
            <w:tcMar>
              <w:top w:type="dxa" w:w="80"/>
              <w:left w:type="dxa" w:w="110"/>
              <w:bottom w:type="dxa" w:w="80"/>
              <w:right w:type="dxa" w:w="110"/>
            </w:tcMar>
          </w:tcPr>
          <w:p>
            <w:pPr>
              <w:spacing w:after="120"/>
            </w:pPr>
            <w:r>
              <w:rPr>
                <w:sz w:val="20"/>
                <w:szCs w:val="20"/>
              </w:rPr>
              <w:t xml:space="preserve"> </w:t>
            </w:r>
          </w:p>
        </w:tc>
        <w:tc>
          <w:tcPr>
            <w:tcW w:type="pct" w:w="16%"/>
            <w:tcMar>
              <w:top w:type="dxa" w:w="80"/>
              <w:left w:type="dxa" w:w="110"/>
              <w:bottom w:type="dxa" w:w="80"/>
              <w:right w:type="dxa" w:w="110"/>
            </w:tcMar>
          </w:tcPr>
          <w:p>
            <w:pPr>
              <w:spacing w:after="120"/>
            </w:pPr>
            <w:r>
              <w:rPr>
                <w:sz w:val="20"/>
                <w:szCs w:val="20"/>
              </w:rPr>
              <w:t xml:space="preserve"> </w:t>
            </w:r>
          </w:p>
        </w:tc>
        <w:tc>
          <w:tcPr>
            <w:tcW w:type="pct" w:w="30%"/>
            <w:tcMar>
              <w:top w:type="dxa" w:w="80"/>
              <w:left w:type="dxa" w:w="110"/>
              <w:bottom w:type="dxa" w:w="80"/>
              <w:right w:type="dxa" w:w="110"/>
            </w:tcMar>
          </w:tcPr>
          <w:p>
            <w:pPr>
              <w:spacing w:after="120"/>
            </w:pPr>
            <w:r>
              <w:rPr>
                <w:sz w:val="20"/>
                <w:szCs w:val="20"/>
              </w:rPr>
              <w:t xml:space="preserve"> </w:t>
            </w:r>
          </w:p>
        </w:tc>
      </w:tr>
      <w:tr>
        <w:tc>
          <w:tcPr>
            <w:tcW w:type="pct" w:w="24%"/>
            <w:tcMar>
              <w:top w:type="dxa" w:w="80"/>
              <w:left w:type="dxa" w:w="110"/>
              <w:bottom w:type="dxa" w:w="80"/>
              <w:right w:type="dxa" w:w="110"/>
            </w:tcMar>
          </w:tcPr>
          <w:p>
            <w:pPr>
              <w:spacing w:after="0"/>
            </w:pPr>
            <w:r>
              <w:rPr>
                <w:b/>
                <w:bCs/>
                <w:sz w:val="17"/>
                <w:szCs w:val="17"/>
              </w:rPr>
              <w:t xml:space="preserve">Approved by (quality assurance)</w:t>
            </w:r>
          </w:p>
        </w:tc>
        <w:tc>
          <w:tcPr>
            <w:tcW w:type="pct" w:w="30%"/>
            <w:tcMar>
              <w:top w:type="dxa" w:w="80"/>
              <w:left w:type="dxa" w:w="110"/>
              <w:bottom w:type="dxa" w:w="80"/>
              <w:right w:type="dxa" w:w="110"/>
            </w:tcMar>
          </w:tcPr>
          <w:p>
            <w:pPr>
              <w:spacing w:after="120"/>
            </w:pPr>
            <w:r>
              <w:rPr>
                <w:sz w:val="20"/>
                <w:szCs w:val="20"/>
              </w:rPr>
              <w:t xml:space="preserve"> </w:t>
            </w:r>
          </w:p>
        </w:tc>
        <w:tc>
          <w:tcPr>
            <w:tcW w:type="pct" w:w="16%"/>
            <w:tcMar>
              <w:top w:type="dxa" w:w="80"/>
              <w:left w:type="dxa" w:w="110"/>
              <w:bottom w:type="dxa" w:w="80"/>
              <w:right w:type="dxa" w:w="110"/>
            </w:tcMar>
          </w:tcPr>
          <w:p>
            <w:pPr>
              <w:spacing w:after="120"/>
            </w:pPr>
            <w:r>
              <w:rPr>
                <w:sz w:val="20"/>
                <w:szCs w:val="20"/>
              </w:rPr>
              <w:t xml:space="preserve"> </w:t>
            </w:r>
          </w:p>
        </w:tc>
        <w:tc>
          <w:tcPr>
            <w:tcW w:type="pct" w:w="30%"/>
            <w:tcMar>
              <w:top w:type="dxa" w:w="80"/>
              <w:left w:type="dxa" w:w="110"/>
              <w:bottom w:type="dxa" w:w="80"/>
              <w:right w:type="dxa" w:w="110"/>
            </w:tcMar>
          </w:tcPr>
          <w:p>
            <w:pPr>
              <w:spacing w:after="120"/>
            </w:pPr>
            <w:r>
              <w:rPr>
                <w:sz w:val="20"/>
                <w:szCs w:val="20"/>
              </w:rPr>
              <w:t xml:space="preserve"> </w:t>
            </w:r>
          </w:p>
        </w:tc>
      </w:tr>
    </w:tbl>
    <w:p>
      <w:pPr>
        <w:spacing w:after="160"/>
      </w:pPr>
      <w:r>
        <w:rPr>
          <w:i/>
          <w:iCs/>
          <w:color w:val="475569"/>
          <w:sz w:val="17"/>
          <w:szCs w:val="17"/>
        </w:rPr>
        <w:t xml:space="preserve">This protocol is a record of your quality system: keep it signed, together with the validation file of the version installed.</w:t>
      </w:r>
    </w:p>
    <w:sectPr>
      <w:headerReference w:type="default" r:id="rId7"/>
      <w:footerReference w:type="default" r:id="rId8"/>
      <w:pgSz w:w="11906" w:h="16838" w:orient="portrait"/>
      <w:pgMar w:top="9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5"/>
        <w:szCs w:val="15"/>
      </w:rPr>
      <w:t xml:space="preserve">Page </w:t>
    </w:r>
    <w:r>
      <w:rPr>
        <w:color w:val="475569"/>
        <w:sz w:val="15"/>
        <w:szCs w:val="15"/>
      </w:rPr>
      <w:fldChar w:fldCharType="begin"/>
      <w:instrText xml:space="preserve">PAGE</w:instrText>
      <w:fldChar w:fldCharType="separate"/>
      <w:fldChar w:fldCharType="end"/>
    </w:r>
    <w:r>
      <w:rPr>
        <w:color w:val="475569"/>
        <w:sz w:val="15"/>
        <w:szCs w:val="15"/>
      </w:rPr>
      <w:t xml:space="preserve"> of </w:t>
    </w:r>
    <w:r>
      <w:rPr>
        <w:color w:val="475569"/>
        <w:sz w:val="15"/>
        <w:szCs w:val="15"/>
      </w:rPr>
      <w:fldChar w:fldCharType="begin"/>
      <w:instrText xml:space="preserve">NUMPAGES</w:instrText>
      <w:fldChar w:fldCharType="separate"/>
      <w:fldChar w:fldCharType="end"/>
    </w:r>
    <w:r>
      <w:rPr>
        <w:color w:val="475569"/>
        <w:sz w:val="15"/>
        <w:szCs w:val="15"/>
      </w:rPr>
      <w:t xml:space="preserve">   ·   Version 1.2.1 · to be executed and signed by your organisation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475569"/>
        <w:sz w:val="15"/>
        <w:szCs w:val="15"/>
      </w:rPr>
      <w:t xml:space="preserve">Filum — IQ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4338CA"/>
      <w:sz w:val="26"/>
      <w:szCs w:val="26"/>
    </w:rPr>
  </w:style>
  <w:style w:type="paragraph" w:styleId="Heading2">
    <w:name w:val="Heading 2"/>
    <w:basedOn w:val="Normal"/>
    <w:next w:val="Normal"/>
    <w:qFormat/>
    <w:pPr>
      <w:spacing w:after="100" w:before="240"/>
    </w:pPr>
    <w:rPr>
      <w:rFonts w:ascii="Calibri" w:cs="Calibri" w:eastAsia="Calibri" w:hAnsi="Calibri"/>
      <w:b/>
      <w:bCs/>
      <w:color w:val="1E293B"/>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Filum — Installation qualification protocol</dc:title>
  <dc:creator>Un-named</dc:creator>
  <cp:lastModifiedBy>Un-named</cp:lastModifiedBy>
  <cp:revision>1</cp:revision>
  <dcterms:created xsi:type="dcterms:W3CDTF">2026-10-01T11:29:22.777Z</dcterms:created>
  <dcterms:modified xsi:type="dcterms:W3CDTF">2026-10-01T11:29:22.777Z</dcterms:modified>
</cp:coreProperties>
</file>

<file path=docProps/custom.xml><?xml version="1.0" encoding="utf-8"?>
<Properties xmlns="http://schemas.openxmlformats.org/officeDocument/2006/custom-properties" xmlns:vt="http://schemas.openxmlformats.org/officeDocument/2006/docPropsVTypes"/>
</file>