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b/>
          <w:bCs/>
          <w:color w:val="4338CA"/>
          <w:sz w:val="44"/>
          <w:szCs w:val="44"/>
        </w:rPr>
        <w:t xml:space="preserve">Filum</w:t>
      </w:r>
    </w:p>
    <w:p>
      <w:pPr>
        <w:spacing w:after="100"/>
        <w:jc w:val="center"/>
      </w:pPr>
      <w:r>
        <w:rPr>
          <w:b/>
          <w:bCs/>
          <w:sz w:val="30"/>
          <w:szCs w:val="30"/>
        </w:rPr>
        <w:t xml:space="preserve">Position note — retention and archiving</w:t>
      </w:r>
    </w:p>
    <w:p>
      <w:pPr>
        <w:spacing w:after="500"/>
        <w:jc w:val="center"/>
      </w:pPr>
      <w:r>
        <w:rPr>
          <w:i/>
          <w:iCs/>
          <w:color w:val="475569"/>
          <w:sz w:val="24"/>
          <w:szCs w:val="24"/>
        </w:rPr>
        <w:t xml:space="preserve">“And if we stop using Filum in eight years, what happens to our records?”</w:t>
      </w:r>
    </w:p>
    <w:p>
      <w:pPr>
        <w:spacing w:after="700"/>
        <w:jc w:val="center"/>
      </w:pPr>
      <w:r>
        <w:rPr>
          <w:color w:val="475569"/>
          <w:sz w:val="17"/>
          <w:szCs w:val="17"/>
        </w:rPr>
        <w:t xml:space="preserve">Version 1.2.1 — August 2026</w:t>
      </w:r>
    </w:p>
    <w:p>
      <w:pPr>
        <w:pStyle w:val="Heading1"/>
        <w:spacing w:after="140" w:before="320"/>
      </w:pPr>
      <w:r>
        <w:t xml:space="preserve">1. What the regulations require</w:t>
      </w:r>
    </w:p>
    <w:p>
      <w:pPr>
        <w:spacing w:after="160"/>
      </w:pPr>
      <w:r>
        <w:rPr>
          <w:sz w:val="20"/>
          <w:szCs w:val="20"/>
        </w:rPr>
        <w:t xml:space="preserve">A widespread reading has it that 21 CFR 11.10(c) requires records to be destroyed at the due date. It is wrong, and the mistake is expensive: software that purged by itself would create precisely the risk it claims to control. The clause requires records to be PROTECTED throughout the retention period.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0E7FF"/>
            <w:tcMar>
              <w:top w:type="dxa" w:w="80"/>
              <w:left w:type="dxa" w:w="110"/>
              <w:bottom w:type="dxa" w:w="80"/>
              <w:right w:type="dxa" w:w="110"/>
            </w:tcMar>
          </w:tcPr>
          <w:p>
            <w:pPr>
              <w:spacing w:after="0"/>
            </w:pPr>
            <w:r>
              <w:rPr>
                <w:b/>
                <w:bCs/>
                <w:sz w:val="17"/>
                <w:szCs w:val="17"/>
              </w:rPr>
              <w:t xml:space="preserve">Source</w:t>
            </w:r>
          </w:p>
        </w:tc>
        <w:tc>
          <w:tcPr>
            <w:tcW w:type="pct" w:w="45%"/>
            <w:shd w:fill="E0E7FF"/>
            <w:tcMar>
              <w:top w:type="dxa" w:w="80"/>
              <w:left w:type="dxa" w:w="110"/>
              <w:bottom w:type="dxa" w:w="80"/>
              <w:right w:type="dxa" w:w="110"/>
            </w:tcMar>
          </w:tcPr>
          <w:p>
            <w:pPr>
              <w:spacing w:after="0"/>
            </w:pPr>
            <w:r>
              <w:rPr>
                <w:b/>
                <w:bCs/>
                <w:sz w:val="17"/>
                <w:szCs w:val="17"/>
              </w:rPr>
              <w:t xml:space="preserve">What it requires</w:t>
            </w:r>
          </w:p>
        </w:tc>
        <w:tc>
          <w:tcPr>
            <w:tcW w:type="pct" w:w="33%"/>
            <w:shd w:fill="E0E7FF"/>
            <w:tcMar>
              <w:top w:type="dxa" w:w="80"/>
              <w:left w:type="dxa" w:w="110"/>
              <w:bottom w:type="dxa" w:w="80"/>
              <w:right w:type="dxa" w:w="110"/>
            </w:tcMar>
          </w:tcPr>
          <w:p>
            <w:pPr>
              <w:spacing w:after="0"/>
            </w:pPr>
            <w:r>
              <w:rPr>
                <w:b/>
                <w:bCs/>
                <w:sz w:val="17"/>
                <w:szCs w:val="17"/>
              </w:rPr>
              <w:t xml:space="preserve">What to take from it</w:t>
            </w:r>
          </w:p>
        </w:tc>
      </w:tr>
      <w:tr>
        <w:tc>
          <w:tcPr>
            <w:tcW w:type="pct" w:w="22%"/>
            <w:tcMar>
              <w:top w:type="dxa" w:w="80"/>
              <w:left w:type="dxa" w:w="110"/>
              <w:bottom w:type="dxa" w:w="80"/>
              <w:right w:type="dxa" w:w="110"/>
            </w:tcMar>
          </w:tcPr>
          <w:p>
            <w:pPr>
              <w:spacing w:after="0"/>
            </w:pPr>
            <w:r>
              <w:rPr>
                <w:b/>
                <w:bCs/>
                <w:color w:val="4338CA"/>
                <w:sz w:val="17"/>
                <w:szCs w:val="17"/>
              </w:rPr>
              <w:t xml:space="preserve">21 CFR 11.10(c)</w:t>
            </w:r>
          </w:p>
        </w:tc>
        <w:tc>
          <w:tcPr>
            <w:tcW w:type="pct" w:w="45%"/>
            <w:tcMar>
              <w:top w:type="dxa" w:w="80"/>
              <w:left w:type="dxa" w:w="110"/>
              <w:bottom w:type="dxa" w:w="80"/>
              <w:right w:type="dxa" w:w="110"/>
            </w:tcMar>
          </w:tcPr>
          <w:p>
            <w:pPr>
              <w:spacing w:after="0"/>
            </w:pPr>
            <w:r>
              <w:rPr>
                <w:sz w:val="17"/>
                <w:szCs w:val="17"/>
              </w:rPr>
              <w:t xml:space="preserve">Protection of records to enable their accurate and ready retrieval throughout the records retention period.</w:t>
            </w:r>
          </w:p>
        </w:tc>
        <w:tc>
          <w:tcPr>
            <w:tcW w:type="pct" w:w="33%"/>
            <w:tcMar>
              <w:top w:type="dxa" w:w="80"/>
              <w:left w:type="dxa" w:w="110"/>
              <w:bottom w:type="dxa" w:w="80"/>
              <w:right w:type="dxa" w:w="110"/>
            </w:tcMar>
          </w:tcPr>
          <w:p>
            <w:pPr>
              <w:spacing w:after="0"/>
            </w:pPr>
            <w:r>
              <w:rPr>
                <w:color w:val="475569"/>
                <w:sz w:val="17"/>
                <w:szCs w:val="17"/>
              </w:rPr>
              <w:t xml:space="preserve">The clause is about PROTECTION, never destruction. It mandates no purge at the due date.</w:t>
            </w:r>
          </w:p>
        </w:tc>
      </w:tr>
      <w:tr>
        <w:tc>
          <w:tcPr>
            <w:tcW w:type="pct" w:w="22%"/>
            <w:tcMar>
              <w:top w:type="dxa" w:w="80"/>
              <w:left w:type="dxa" w:w="110"/>
              <w:bottom w:type="dxa" w:w="80"/>
              <w:right w:type="dxa" w:w="110"/>
            </w:tcMar>
          </w:tcPr>
          <w:p>
            <w:pPr>
              <w:spacing w:after="0"/>
            </w:pPr>
            <w:r>
              <w:rPr>
                <w:b/>
                <w:bCs/>
                <w:color w:val="4338CA"/>
                <w:sz w:val="17"/>
                <w:szCs w:val="17"/>
              </w:rPr>
              <w:t xml:space="preserve">21 CFR part 820 (QMSR)</w:t>
            </w:r>
          </w:p>
        </w:tc>
        <w:tc>
          <w:tcPr>
            <w:tcW w:type="pct" w:w="45%"/>
            <w:tcMar>
              <w:top w:type="dxa" w:w="80"/>
              <w:left w:type="dxa" w:w="110"/>
              <w:bottom w:type="dxa" w:w="80"/>
              <w:right w:type="dxa" w:w="110"/>
            </w:tcMar>
          </w:tcPr>
          <w:p>
            <w:pPr>
              <w:spacing w:after="0"/>
            </w:pPr>
            <w:r>
              <w:rPr>
                <w:sz w:val="17"/>
                <w:szCs w:val="17"/>
              </w:rPr>
              <w:t xml:space="preserve">Since 2 February 2026, the QMSR incorporates ISO 13485:2016 by reference (§ 820.7) and requires conformity with it (§ 820.10(a)). Subparts C through O of the former wording were removed: § 820.180(b), which carried the retention period, NO LONGER EXISTS. § 820.35 “Control of records” covers only the content of certain records — complaints, servicing activities, UDI — not their retention period.</w:t>
            </w:r>
          </w:p>
        </w:tc>
        <w:tc>
          <w:tcPr>
            <w:tcW w:type="pct" w:w="33%"/>
            <w:tcMar>
              <w:top w:type="dxa" w:w="80"/>
              <w:left w:type="dxa" w:w="110"/>
              <w:bottom w:type="dxa" w:w="80"/>
              <w:right w:type="dxa" w:w="110"/>
            </w:tcMar>
          </w:tcPr>
          <w:p>
            <w:pPr>
              <w:spacing w:after="0"/>
            </w:pPr>
            <w:r>
              <w:rPr>
                <w:color w:val="475569"/>
                <w:sz w:val="17"/>
                <w:szCs w:val="17"/>
              </w:rPr>
              <w:t xml:space="preserve">Do not cite § 820.180(b) in a procedure written after February 2026: the period applicable in the United States is now the one in ISO 13485 § 4.2.5, below.</w:t>
            </w:r>
          </w:p>
        </w:tc>
      </w:tr>
      <w:tr>
        <w:tc>
          <w:tcPr>
            <w:tcW w:type="pct" w:w="22%"/>
            <w:tcMar>
              <w:top w:type="dxa" w:w="80"/>
              <w:left w:type="dxa" w:w="110"/>
              <w:bottom w:type="dxa" w:w="80"/>
              <w:right w:type="dxa" w:w="110"/>
            </w:tcMar>
          </w:tcPr>
          <w:p>
            <w:pPr>
              <w:spacing w:after="0"/>
            </w:pPr>
            <w:r>
              <w:rPr>
                <w:b/>
                <w:bCs/>
                <w:color w:val="4338CA"/>
                <w:sz w:val="17"/>
                <w:szCs w:val="17"/>
              </w:rPr>
              <w:t xml:space="preserve">MDR (EU) 2017/745, art. 10(8)</w:t>
            </w:r>
          </w:p>
        </w:tc>
        <w:tc>
          <w:tcPr>
            <w:tcW w:type="pct" w:w="45%"/>
            <w:tcMar>
              <w:top w:type="dxa" w:w="80"/>
              <w:left w:type="dxa" w:w="110"/>
              <w:bottom w:type="dxa" w:w="80"/>
              <w:right w:type="dxa" w:w="110"/>
            </w:tcMar>
          </w:tcPr>
          <w:p>
            <w:pPr>
              <w:spacing w:after="0"/>
            </w:pPr>
            <w:r>
              <w:rPr>
                <w:sz w:val="17"/>
                <w:szCs w:val="17"/>
              </w:rPr>
              <w:t xml:space="preserve">Keep the technical documentation available for at least ten years after the last device has been placed on the market — fifteen years for an implantable device.</w:t>
            </w:r>
          </w:p>
        </w:tc>
        <w:tc>
          <w:tcPr>
            <w:tcW w:type="pct" w:w="33%"/>
            <w:tcMar>
              <w:top w:type="dxa" w:w="80"/>
              <w:left w:type="dxa" w:w="110"/>
              <w:bottom w:type="dxa" w:w="80"/>
              <w:right w:type="dxa" w:w="110"/>
            </w:tcMar>
          </w:tcPr>
          <w:p>
            <w:pPr>
              <w:spacing w:after="0"/>
            </w:pPr>
            <w:r>
              <w:rPr>
                <w:color w:val="475569"/>
                <w:sz w:val="17"/>
                <w:szCs w:val="17"/>
              </w:rPr>
              <w:t xml:space="preserve">Ten to fifteen years: longer than the life of a software version, of an operating system, often of a supplier.</w:t>
            </w:r>
          </w:p>
        </w:tc>
      </w:tr>
      <w:tr>
        <w:tc>
          <w:tcPr>
            <w:tcW w:type="pct" w:w="22%"/>
            <w:tcMar>
              <w:top w:type="dxa" w:w="80"/>
              <w:left w:type="dxa" w:w="110"/>
              <w:bottom w:type="dxa" w:w="80"/>
              <w:right w:type="dxa" w:w="110"/>
            </w:tcMar>
          </w:tcPr>
          <w:p>
            <w:pPr>
              <w:spacing w:after="0"/>
            </w:pPr>
            <w:r>
              <w:rPr>
                <w:b/>
                <w:bCs/>
                <w:color w:val="4338CA"/>
                <w:sz w:val="17"/>
                <w:szCs w:val="17"/>
              </w:rPr>
              <w:t xml:space="preserve">ISO 13485:2016 § 4.2.5</w:t>
            </w:r>
          </w:p>
        </w:tc>
        <w:tc>
          <w:tcPr>
            <w:tcW w:type="pct" w:w="45%"/>
            <w:tcMar>
              <w:top w:type="dxa" w:w="80"/>
              <w:left w:type="dxa" w:w="110"/>
              <w:bottom w:type="dxa" w:w="80"/>
              <w:right w:type="dxa" w:w="110"/>
            </w:tcMar>
          </w:tcPr>
          <w:p>
            <w:pPr>
              <w:spacing w:after="0"/>
            </w:pPr>
            <w:r>
              <w:rPr>
                <w:sz w:val="17"/>
                <w:szCs w:val="17"/>
              </w:rPr>
              <w:t xml:space="preserve">Retain records for at least the lifetime of the medical device as defined by the organization, or as specified by applicable regulatory requirements, but not less than two years from the release date of the medical device. Ensure they remain legible, readily identifiable and retrievable.</w:t>
            </w:r>
          </w:p>
        </w:tc>
        <w:tc>
          <w:tcPr>
            <w:tcW w:type="pct" w:w="33%"/>
            <w:tcMar>
              <w:top w:type="dxa" w:w="80"/>
              <w:left w:type="dxa" w:w="110"/>
              <w:bottom w:type="dxa" w:w="80"/>
              <w:right w:type="dxa" w:w="110"/>
            </w:tcMar>
          </w:tcPr>
          <w:p>
            <w:pPr>
              <w:spacing w:after="0"/>
            </w:pPr>
            <w:r>
              <w:rPr>
                <w:color w:val="475569"/>
                <w:sz w:val="17"/>
                <w:szCs w:val="17"/>
              </w:rPr>
              <w:t xml:space="preserve">This is THE reference to cite: it applies in its own right under ISO 13485, and in the United States through incorporation into the QMSR. “Legible” applies across the whole period — an open, verifiable format beats a proprietary database.</w:t>
            </w:r>
          </w:p>
        </w:tc>
      </w:tr>
    </w:tbl>
    <w:p>
      <w:pPr>
        <w:spacing w:after="160"/>
      </w:pPr>
      <w:r>
        <w:rPr>
          <w:b/>
          <w:bCs/>
          <w:sz w:val="20"/>
          <w:szCs w:val="20"/>
        </w:rPr>
        <w:t xml:space="preserve">Two consequences follow, and they govern everything else. The period depends on your device: the software cannot guess it, it can only record your decision. And the period outlives a software installation: retrieval therefore cannot depend on the software.</w:t>
      </w:r>
    </w:p>
    <w:p>
      <w:pPr>
        <w:pStyle w:val="Heading1"/>
        <w:spacing w:after="140" w:before="320"/>
      </w:pPr>
      <w:r>
        <w:t xml:space="preserve">2. The founding choice: Filum never deletes</w:t>
      </w:r>
    </w:p>
    <w:p>
      <w:pPr>
        <w:spacing w:after="140"/>
      </w:pPr>
      <w:r>
        <w:rPr>
          <w:sz w:val="20"/>
          <w:szCs w:val="20"/>
        </w:rPr>
        <w:t xml:space="preserve">There is no expiry function in Filum, no scheduled purge, no bin that empties itself. A frozen record enters the system and does not leave it. Even superseded snapshots — those of an earlier revision, or of an interrupted review — are kept and remain downloadable: the trace of approval attempts is part of the record.</w:t>
      </w:r>
    </w:p>
    <w:p>
      <w:pPr>
        <w:spacing w:after="160"/>
      </w:pPr>
      <w:r>
        <w:rPr>
          <w:sz w:val="20"/>
          <w:szCs w:val="20"/>
        </w:rPr>
        <w:t xml:space="preserve">This is a choice, not a gap. A system that decides on its own to destroy is a system that can destroy wrongly, and that error is by nature unrecoverable. The decision to destroy, when it comes, is taken outside the software and carried out outside the software.</w:t>
      </w:r>
    </w:p>
    <w:p>
      <w:pPr>
        <w:pStyle w:val="Heading1"/>
        <w:spacing w:after="140" w:before="320"/>
      </w:pPr>
      <w:r>
        <w:t xml:space="preserve">3. What the software does, and how to check it</w:t>
      </w:r>
    </w:p>
    <w:p>
      <w:pPr>
        <w:spacing w:after="140"/>
      </w:pPr>
      <w:r>
        <w:rPr>
          <w:sz w:val="20"/>
          <w:szCs w:val="20"/>
        </w:rPr>
        <w:t xml:space="preserve">Each row describes a mechanism that is actually implemented, together with the gesture that would prove it wrong. None of them asks you to take our word for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E0E7FF"/>
            <w:tcMar>
              <w:top w:type="dxa" w:w="80"/>
              <w:left w:type="dxa" w:w="110"/>
              <w:bottom w:type="dxa" w:w="80"/>
              <w:right w:type="dxa" w:w="110"/>
            </w:tcMar>
          </w:tcPr>
          <w:p>
            <w:pPr>
              <w:spacing w:after="0"/>
            </w:pPr>
            <w:r>
              <w:rPr>
                <w:b/>
                <w:bCs/>
                <w:sz w:val="17"/>
                <w:szCs w:val="17"/>
              </w:rPr>
              <w:t xml:space="preserve">Mechanism</w:t>
            </w:r>
          </w:p>
        </w:tc>
        <w:tc>
          <w:tcPr>
            <w:tcW w:type="pct" w:w="48%"/>
            <w:shd w:fill="E0E7FF"/>
            <w:tcMar>
              <w:top w:type="dxa" w:w="80"/>
              <w:left w:type="dxa" w:w="110"/>
              <w:bottom w:type="dxa" w:w="80"/>
              <w:right w:type="dxa" w:w="110"/>
            </w:tcMar>
          </w:tcPr>
          <w:p>
            <w:pPr>
              <w:spacing w:after="0"/>
            </w:pPr>
            <w:r>
              <w:rPr>
                <w:b/>
                <w:bCs/>
                <w:sz w:val="17"/>
                <w:szCs w:val="17"/>
              </w:rPr>
              <w:t xml:space="preserve">What it guarantees</w:t>
            </w:r>
          </w:p>
        </w:tc>
        <w:tc>
          <w:tcPr>
            <w:tcW w:type="pct" w:w="30%"/>
            <w:shd w:fill="E0E7FF"/>
            <w:tcMar>
              <w:top w:type="dxa" w:w="80"/>
              <w:left w:type="dxa" w:w="110"/>
              <w:bottom w:type="dxa" w:w="80"/>
              <w:right w:type="dxa" w:w="110"/>
            </w:tcMar>
          </w:tcPr>
          <w:p>
            <w:pPr>
              <w:spacing w:after="0"/>
            </w:pPr>
            <w:r>
              <w:rPr>
                <w:b/>
                <w:bCs/>
                <w:sz w:val="17"/>
                <w:szCs w:val="17"/>
              </w:rPr>
              <w:t xml:space="preserve">How to check it</w:t>
            </w:r>
          </w:p>
        </w:tc>
      </w:tr>
      <w:tr>
        <w:tc>
          <w:tcPr>
            <w:tcW w:type="pct" w:w="22%"/>
            <w:tcMar>
              <w:top w:type="dxa" w:w="80"/>
              <w:left w:type="dxa" w:w="110"/>
              <w:bottom w:type="dxa" w:w="80"/>
              <w:right w:type="dxa" w:w="110"/>
            </w:tcMar>
          </w:tcPr>
          <w:p>
            <w:pPr>
              <w:spacing w:after="0"/>
            </w:pPr>
            <w:r>
              <w:rPr>
                <w:b/>
                <w:bCs/>
                <w:color w:val="4338CA"/>
                <w:sz w:val="17"/>
                <w:szCs w:val="17"/>
              </w:rPr>
              <w:t xml:space="preserve">No purge, ever</w:t>
            </w:r>
          </w:p>
        </w:tc>
        <w:tc>
          <w:tcPr>
            <w:tcW w:type="pct" w:w="48%"/>
            <w:tcMar>
              <w:top w:type="dxa" w:w="80"/>
              <w:left w:type="dxa" w:w="110"/>
              <w:bottom w:type="dxa" w:w="80"/>
              <w:right w:type="dxa" w:w="110"/>
            </w:tcMar>
          </w:tcPr>
          <w:p>
            <w:pPr>
              <w:spacing w:after="0"/>
            </w:pPr>
            <w:r>
              <w:rPr>
                <w:sz w:val="17"/>
                <w:szCs w:val="17"/>
              </w:rPr>
              <w:t xml:space="preserve">Filum implements no automatic deletion, no expiry and no housekeeping task on frozen records. An approved record cannot be deleted by the application, whatever the role: the few permitted deletions concern draft content, and a released or signed document refuses them.</w:t>
            </w:r>
          </w:p>
        </w:tc>
        <w:tc>
          <w:tcPr>
            <w:tcW w:type="pct" w:w="30%"/>
            <w:tcMar>
              <w:top w:type="dxa" w:w="80"/>
              <w:left w:type="dxa" w:w="110"/>
              <w:bottom w:type="dxa" w:w="80"/>
              <w:right w:type="dxa" w:w="110"/>
            </w:tcMar>
          </w:tcPr>
          <w:p>
            <w:pPr>
              <w:spacing w:after="0"/>
            </w:pPr>
            <w:r>
              <w:rPr>
                <w:color w:val="475569"/>
                <w:sz w:val="17"/>
                <w:szCs w:val="17"/>
              </w:rPr>
              <w:t xml:space="preserve">Try to delete a released document: the refusal is explicit and points to the compliant route, a new revision.</w:t>
            </w:r>
          </w:p>
        </w:tc>
      </w:tr>
      <w:tr>
        <w:tc>
          <w:tcPr>
            <w:tcW w:type="pct" w:w="22%"/>
            <w:tcMar>
              <w:top w:type="dxa" w:w="80"/>
              <w:left w:type="dxa" w:w="110"/>
              <w:bottom w:type="dxa" w:w="80"/>
              <w:right w:type="dxa" w:w="110"/>
            </w:tcMar>
          </w:tcPr>
          <w:p>
            <w:pPr>
              <w:spacing w:after="0"/>
            </w:pPr>
            <w:r>
              <w:rPr>
                <w:b/>
                <w:bCs/>
                <w:color w:val="4338CA"/>
                <w:sz w:val="17"/>
                <w:szCs w:val="17"/>
              </w:rPr>
              <w:t xml:space="preserve">Period declared, not enforced</w:t>
            </w:r>
          </w:p>
        </w:tc>
        <w:tc>
          <w:tcPr>
            <w:tcW w:type="pct" w:w="48%"/>
            <w:tcMar>
              <w:top w:type="dxa" w:w="80"/>
              <w:left w:type="dxa" w:w="110"/>
              <w:bottom w:type="dxa" w:w="80"/>
              <w:right w:type="dxa" w:w="110"/>
            </w:tcMar>
          </w:tcPr>
          <w:p>
            <w:pPr>
              <w:spacing w:after="0"/>
            </w:pPr>
            <w:r>
              <w:rPr>
                <w:sz w:val="17"/>
                <w:szCs w:val="17"/>
              </w:rPr>
              <w:t xml:space="preserve">The retention period is entered in Settings, along with what it rests on and the reference of your own procedure. It triggers NOTHING: it is carried onto every record in the archive as a due date, so that the decision sits in the file instead of in someone’s head. Until a period is declared, the archive says so plainly rather than showing a default value.</w:t>
            </w:r>
          </w:p>
        </w:tc>
        <w:tc>
          <w:tcPr>
            <w:tcW w:type="pct" w:w="30%"/>
            <w:tcMar>
              <w:top w:type="dxa" w:w="80"/>
              <w:left w:type="dxa" w:w="110"/>
              <w:bottom w:type="dxa" w:w="80"/>
              <w:right w:type="dxa" w:w="110"/>
            </w:tcMar>
          </w:tcPr>
          <w:p>
            <w:pPr>
              <w:spacing w:after="0"/>
            </w:pPr>
            <w:r>
              <w:rPr>
                <w:color w:val="475569"/>
                <w:sz w:val="17"/>
                <w:szCs w:val="17"/>
              </w:rPr>
              <w:t xml:space="preserve">Declare ten years, produce an archive, open the manifest: each row carries its due date, computed from the record’s freezing date.</w:t>
            </w:r>
          </w:p>
        </w:tc>
      </w:tr>
      <w:tr>
        <w:tc>
          <w:tcPr>
            <w:tcW w:type="pct" w:w="22%"/>
            <w:tcMar>
              <w:top w:type="dxa" w:w="80"/>
              <w:left w:type="dxa" w:w="110"/>
              <w:bottom w:type="dxa" w:w="80"/>
              <w:right w:type="dxa" w:w="110"/>
            </w:tcMar>
          </w:tcPr>
          <w:p>
            <w:pPr>
              <w:spacing w:after="0"/>
            </w:pPr>
            <w:r>
              <w:rPr>
                <w:b/>
                <w:bCs/>
                <w:color w:val="4338CA"/>
                <w:sz w:val="17"/>
                <w:szCs w:val="17"/>
              </w:rPr>
              <w:t xml:space="preserve">Archive verifiable without Filum</w:t>
            </w:r>
          </w:p>
        </w:tc>
        <w:tc>
          <w:tcPr>
            <w:tcW w:type="pct" w:w="48%"/>
            <w:tcMar>
              <w:top w:type="dxa" w:w="80"/>
              <w:left w:type="dxa" w:w="110"/>
              <w:bottom w:type="dxa" w:w="80"/>
              <w:right w:type="dxa" w:w="110"/>
            </w:tcMar>
          </w:tcPr>
          <w:p>
            <w:pPr>
              <w:spacing w:after="0"/>
            </w:pPr>
            <w:r>
              <w:rPr>
                <w:sz w:val="17"/>
                <w:szCs w:val="17"/>
              </w:rPr>
              <w:t xml:space="preserve">The archive contains the frozen bytes of every record, a PDF/A-2b ARCHIVAL COPY of each alongside, a manifest readable in a spreadsheet, the CSV exports of the graph, the complete audit trail, and a fingerprint file in the standard sha256sum format. No proprietary format, no dependency on Filum, no licence to maintain. The PDF/A copy answers the question a ten-year retention raises: nothing guarantees that a .docx reader will be installed on the machine where the archive is opened, whereas a PDF/A embeds its font and colours and reads with nothing but itself.</w:t>
            </w:r>
          </w:p>
        </w:tc>
        <w:tc>
          <w:tcPr>
            <w:tcW w:type="pct" w:w="30%"/>
            <w:tcMar>
              <w:top w:type="dxa" w:w="80"/>
              <w:left w:type="dxa" w:w="110"/>
              <w:bottom w:type="dxa" w:w="80"/>
              <w:right w:type="dxa" w:w="110"/>
            </w:tcMar>
          </w:tcPr>
          <w:p>
            <w:pPr>
              <w:spacing w:after="0"/>
            </w:pPr>
            <w:r>
              <w:rPr>
                <w:color w:val="475569"/>
                <w:sz w:val="17"/>
                <w:szCs w:val="17"/>
              </w:rPr>
              <w:t xml:space="preserve">On a machine where Filum has never been installed: “sha256sum -c empreintes.sha256”.</w:t>
            </w:r>
          </w:p>
        </w:tc>
      </w:tr>
      <w:tr>
        <w:tc>
          <w:tcPr>
            <w:tcW w:type="pct" w:w="22%"/>
            <w:tcMar>
              <w:top w:type="dxa" w:w="80"/>
              <w:left w:type="dxa" w:w="110"/>
              <w:bottom w:type="dxa" w:w="80"/>
              <w:right w:type="dxa" w:w="110"/>
            </w:tcMar>
          </w:tcPr>
          <w:p>
            <w:pPr>
              <w:spacing w:after="0"/>
            </w:pPr>
            <w:r>
              <w:rPr>
                <w:b/>
                <w:bCs/>
                <w:color w:val="4338CA"/>
                <w:sz w:val="17"/>
                <w:szCs w:val="17"/>
              </w:rPr>
              <w:t xml:space="preserve">A single value to record</w:t>
            </w:r>
          </w:p>
        </w:tc>
        <w:tc>
          <w:tcPr>
            <w:tcW w:type="pct" w:w="48%"/>
            <w:tcMar>
              <w:top w:type="dxa" w:w="80"/>
              <w:left w:type="dxa" w:w="110"/>
              <w:bottom w:type="dxa" w:w="80"/>
              <w:right w:type="dxa" w:w="110"/>
            </w:tcMar>
          </w:tcPr>
          <w:p>
            <w:pPr>
              <w:spacing w:after="0"/>
            </w:pPr>
            <w:r>
              <w:rPr>
                <w:sz w:val="17"/>
                <w:szCs w:val="17"/>
              </w:rPr>
              <w:t xml:space="preserve">The fingerprint file carries the fingerprint of every other file; its own SHA-256 fingerprint fits on one line. Copied onto your paper quality-review record, it is enough to establish years later that the archive presented is the one produced on that day.</w:t>
            </w:r>
          </w:p>
        </w:tc>
        <w:tc>
          <w:tcPr>
            <w:tcW w:type="pct" w:w="30%"/>
            <w:tcMar>
              <w:top w:type="dxa" w:w="80"/>
              <w:left w:type="dxa" w:w="110"/>
              <w:bottom w:type="dxa" w:w="80"/>
              <w:right w:type="dxa" w:w="110"/>
            </w:tcMar>
          </w:tcPr>
          <w:p>
            <w:pPr>
              <w:spacing w:after="0"/>
            </w:pPr>
            <w:r>
              <w:rPr>
                <w:color w:val="475569"/>
                <w:sz w:val="17"/>
                <w:szCs w:val="17"/>
              </w:rPr>
              <w:t xml:space="preserve">“node verifier.mjs” prints that value on its first line; “certutil -hashfile empreintes.sha256 SHA256” gives it on Windows with nothing to install.</w:t>
            </w:r>
          </w:p>
        </w:tc>
      </w:tr>
      <w:tr>
        <w:tc>
          <w:tcPr>
            <w:tcW w:type="pct" w:w="22%"/>
            <w:tcMar>
              <w:top w:type="dxa" w:w="80"/>
              <w:left w:type="dxa" w:w="110"/>
              <w:bottom w:type="dxa" w:w="80"/>
              <w:right w:type="dxa" w:w="110"/>
            </w:tcMar>
          </w:tcPr>
          <w:p>
            <w:pPr>
              <w:spacing w:after="0"/>
            </w:pPr>
            <w:r>
              <w:rPr>
                <w:b/>
                <w:bCs/>
                <w:color w:val="4338CA"/>
                <w:sz w:val="17"/>
                <w:szCs w:val="17"/>
              </w:rPr>
              <w:t xml:space="preserve">Alteration flagged, not hidden</w:t>
            </w:r>
          </w:p>
        </w:tc>
        <w:tc>
          <w:tcPr>
            <w:tcW w:type="pct" w:w="48%"/>
            <w:tcMar>
              <w:top w:type="dxa" w:w="80"/>
              <w:left w:type="dxa" w:w="110"/>
              <w:bottom w:type="dxa" w:w="80"/>
              <w:right w:type="dxa" w:w="110"/>
            </w:tcMar>
          </w:tcPr>
          <w:p>
            <w:pPr>
              <w:spacing w:after="0"/>
            </w:pPr>
            <w:r>
              <w:rPr>
                <w:sz w:val="17"/>
                <w:szCs w:val="17"/>
              </w:rPr>
              <w:t xml:space="preserve">Every record is re-read and its fingerprint recomputed at archiving time. A file damaged on disk is marked ALTERED in the manifest and included nonetheless: removing it would produce an archive that merely looked sound, which would be worse than the defect itself.</w:t>
            </w:r>
          </w:p>
        </w:tc>
        <w:tc>
          <w:tcPr>
            <w:tcW w:type="pct" w:w="30%"/>
            <w:tcMar>
              <w:top w:type="dxa" w:w="80"/>
              <w:left w:type="dxa" w:w="110"/>
              <w:bottom w:type="dxa" w:w="80"/>
              <w:right w:type="dxa" w:w="110"/>
            </w:tcMar>
          </w:tcPr>
          <w:p>
            <w:pPr>
              <w:spacing w:after="0"/>
            </w:pPr>
            <w:r>
              <w:rPr>
                <w:color w:val="475569"/>
                <w:sz w:val="17"/>
                <w:szCs w:val="17"/>
              </w:rPr>
              <w:t xml:space="preserve">Change one byte of a stored file from the server console, then produce an archive: the corresponding row reads ALTERED.</w:t>
            </w:r>
          </w:p>
        </w:tc>
      </w:tr>
      <w:tr>
        <w:tc>
          <w:tcPr>
            <w:tcW w:type="pct" w:w="22%"/>
            <w:tcMar>
              <w:top w:type="dxa" w:w="80"/>
              <w:left w:type="dxa" w:w="110"/>
              <w:bottom w:type="dxa" w:w="80"/>
              <w:right w:type="dxa" w:w="110"/>
            </w:tcMar>
          </w:tcPr>
          <w:p>
            <w:pPr>
              <w:spacing w:after="0"/>
            </w:pPr>
            <w:r>
              <w:rPr>
                <w:b/>
                <w:bCs/>
                <w:color w:val="4338CA"/>
                <w:sz w:val="17"/>
                <w:szCs w:val="17"/>
              </w:rPr>
              <w:t xml:space="preserve">Third-party timestamping</w:t>
            </w:r>
          </w:p>
        </w:tc>
        <w:tc>
          <w:tcPr>
            <w:tcW w:type="pct" w:w="48%"/>
            <w:tcMar>
              <w:top w:type="dxa" w:w="80"/>
              <w:left w:type="dxa" w:w="110"/>
              <w:bottom w:type="dxa" w:w="80"/>
              <w:right w:type="dxa" w:w="110"/>
            </w:tcMar>
          </w:tcPr>
          <w:p>
            <w:pPr>
              <w:spacing w:after="0"/>
            </w:pPr>
            <w:r>
              <w:rPr>
                <w:sz w:val="17"/>
                <w:szCs w:val="17"/>
              </w:rPr>
              <w:t xml:space="preserve">The archive anchor is submitted to the time-stamping authority YOU configure, which returns an RFC 3161 token: it countersigns “I saw this fingerprint on this date”. Filum checks that the token attests that very fingerprint and the requested nonce, then keeps it as-is inside the archive. Under eIDAS, a qualified time stamp carries a presumption of accuracy of date and of integrity. An unreachable authority never blocks the extraction: the archive is produced without a token, and says so.</w:t>
            </w:r>
          </w:p>
        </w:tc>
        <w:tc>
          <w:tcPr>
            <w:tcW w:type="pct" w:w="30%"/>
            <w:tcMar>
              <w:top w:type="dxa" w:w="80"/>
              <w:left w:type="dxa" w:w="110"/>
              <w:bottom w:type="dxa" w:w="80"/>
              <w:right w:type="dxa" w:w="110"/>
            </w:tcMar>
          </w:tcPr>
          <w:p>
            <w:pPr>
              <w:spacing w:after="0"/>
            </w:pPr>
            <w:r>
              <w:rPr>
                <w:color w:val="475569"/>
                <w:sz w:val="17"/>
                <w:szCs w:val="17"/>
              </w:rPr>
              <w:t xml:space="preserve">“openssl ts -verify -token_in -in horodatage.tsr -digest &lt;anchor&gt; -CAfile &lt;your authority root&gt;” — the command, anchor included, is printed in the cover letter.</w:t>
            </w:r>
          </w:p>
        </w:tc>
      </w:tr>
      <w:tr>
        <w:tc>
          <w:tcPr>
            <w:tcW w:type="pct" w:w="22%"/>
            <w:tcMar>
              <w:top w:type="dxa" w:w="80"/>
              <w:left w:type="dxa" w:w="110"/>
              <w:bottom w:type="dxa" w:w="80"/>
              <w:right w:type="dxa" w:w="110"/>
            </w:tcMar>
          </w:tcPr>
          <w:p>
            <w:pPr>
              <w:spacing w:after="0"/>
            </w:pPr>
            <w:r>
              <w:rPr>
                <w:b/>
                <w:bCs/>
                <w:color w:val="4338CA"/>
                <w:sz w:val="17"/>
                <w:szCs w:val="17"/>
              </w:rPr>
              <w:t xml:space="preserve">Legal hold</w:t>
            </w:r>
          </w:p>
        </w:tc>
        <w:tc>
          <w:tcPr>
            <w:tcW w:type="pct" w:w="48%"/>
            <w:tcMar>
              <w:top w:type="dxa" w:w="80"/>
              <w:left w:type="dxa" w:w="110"/>
              <w:bottom w:type="dxa" w:w="80"/>
              <w:right w:type="dxa" w:w="110"/>
            </w:tcMar>
          </w:tcPr>
          <w:p>
            <w:pPr>
              <w:spacing w:after="0"/>
            </w:pPr>
            <w:r>
              <w:rPr>
                <w:sz w:val="17"/>
                <w:szCs w:val="17"/>
              </w:rPr>
              <w:t xml:space="preserve">A legal hold suspends EVERY deletion in the installation, including those an administrator may otherwise perform and including the purge of import files from the server console. Placing it and lifting it each require a written reason and are both logged.</w:t>
            </w:r>
          </w:p>
        </w:tc>
        <w:tc>
          <w:tcPr>
            <w:tcW w:type="pct" w:w="30%"/>
            <w:tcMar>
              <w:top w:type="dxa" w:w="80"/>
              <w:left w:type="dxa" w:w="110"/>
              <w:bottom w:type="dxa" w:w="80"/>
              <w:right w:type="dxa" w:w="110"/>
            </w:tcMar>
          </w:tcPr>
          <w:p>
            <w:pPr>
              <w:spacing w:after="0"/>
            </w:pPr>
            <w:r>
              <w:rPr>
                <w:color w:val="475569"/>
                <w:sz w:val="17"/>
                <w:szCs w:val="17"/>
              </w:rPr>
              <w:t xml:space="preserve">Place a legal hold, then attempt an otherwise permitted deletion: it is refused with a banner quoting the reason and the date it was placed.</w:t>
            </w:r>
          </w:p>
        </w:tc>
      </w:tr>
    </w:tbl>
    <w:p>
      <w:pPr>
        <w:pStyle w:val="Heading1"/>
        <w:spacing w:after="140" w:before="320"/>
      </w:pPr>
      <w:r>
        <w:t xml:space="preserve">4. What the inspection archive contains</w:t>
      </w:r>
    </w:p>
    <w:p>
      <w:pPr>
        <w:spacing w:after="140"/>
      </w:pPr>
      <w:r>
        <w:rPr>
          <w:sz w:val="20"/>
          <w:szCs w:val="20"/>
        </w:rPr>
        <w:t xml:space="preserve">It is produced in one click from Settings, or with a single command on the server for a decommissioning. Both paths write exactly the same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6%"/>
            <w:shd w:fill="E0E7FF"/>
            <w:tcMar>
              <w:top w:type="dxa" w:w="80"/>
              <w:left w:type="dxa" w:w="110"/>
              <w:bottom w:type="dxa" w:w="80"/>
              <w:right w:type="dxa" w:w="110"/>
            </w:tcMar>
          </w:tcPr>
          <w:p>
            <w:pPr>
              <w:spacing w:after="0"/>
            </w:pPr>
            <w:r>
              <w:rPr>
                <w:b/>
                <w:bCs/>
                <w:sz w:val="17"/>
                <w:szCs w:val="17"/>
              </w:rPr>
              <w:t xml:space="preserve">File</w:t>
            </w:r>
          </w:p>
        </w:tc>
        <w:tc>
          <w:tcPr>
            <w:tcW w:type="pct" w:w="74%"/>
            <w:shd w:fill="E0E7FF"/>
            <w:tcMar>
              <w:top w:type="dxa" w:w="80"/>
              <w:left w:type="dxa" w:w="110"/>
              <w:bottom w:type="dxa" w:w="80"/>
              <w:right w:type="dxa" w:w="110"/>
            </w:tcMar>
          </w:tcPr>
          <w:p>
            <w:pPr>
              <w:spacing w:after="0"/>
            </w:pPr>
            <w:r>
              <w:rPr>
                <w:b/>
                <w:bCs/>
                <w:sz w:val="17"/>
                <w:szCs w:val="17"/>
              </w:rPr>
              <w:t xml:space="preserve">Content</w:t>
            </w:r>
          </w:p>
        </w:tc>
      </w:tr>
      <w:tr>
        <w:tc>
          <w:tcPr>
            <w:tcW w:type="pct" w:w="26%"/>
            <w:tcMar>
              <w:top w:type="dxa" w:w="80"/>
              <w:left w:type="dxa" w:w="110"/>
              <w:bottom w:type="dxa" w:w="80"/>
              <w:right w:type="dxa" w:w="110"/>
            </w:tcMar>
          </w:tcPr>
          <w:p>
            <w:pPr>
              <w:spacing w:after="0"/>
            </w:pPr>
            <w:r>
              <w:rPr>
                <w:b/>
                <w:bCs/>
                <w:color w:val="4338CA"/>
                <w:sz w:val="17"/>
                <w:szCs w:val="17"/>
              </w:rPr>
              <w:t xml:space="preserve">enregistrements/</w:t>
            </w:r>
          </w:p>
        </w:tc>
        <w:tc>
          <w:tcPr>
            <w:tcW w:type="pct" w:w="74%"/>
            <w:tcMar>
              <w:top w:type="dxa" w:w="80"/>
              <w:left w:type="dxa" w:w="110"/>
              <w:bottom w:type="dxa" w:w="80"/>
              <w:right w:type="dxa" w:w="110"/>
            </w:tcMar>
          </w:tcPr>
          <w:p>
            <w:pPr>
              <w:spacing w:after="0"/>
            </w:pPr>
            <w:r>
              <w:rPr>
                <w:sz w:val="17"/>
                <w:szCs w:val="17"/>
              </w:rPr>
              <w:t xml:space="preserve">The frozen bytes of every record, in .docx format, exactly as they were signed — never regenerated.</w:t>
            </w:r>
          </w:p>
        </w:tc>
      </w:tr>
      <w:tr>
        <w:tc>
          <w:tcPr>
            <w:tcW w:type="pct" w:w="26%"/>
            <w:tcMar>
              <w:top w:type="dxa" w:w="80"/>
              <w:left w:type="dxa" w:w="110"/>
              <w:bottom w:type="dxa" w:w="80"/>
              <w:right w:type="dxa" w:w="110"/>
            </w:tcMar>
          </w:tcPr>
          <w:p>
            <w:pPr>
              <w:spacing w:after="0"/>
            </w:pPr>
            <w:r>
              <w:rPr>
                <w:b/>
                <w:bCs/>
                <w:color w:val="4338CA"/>
                <w:sz w:val="17"/>
                <w:szCs w:val="17"/>
              </w:rPr>
              <w:t xml:space="preserve">manifeste.csv</w:t>
            </w:r>
          </w:p>
        </w:tc>
        <w:tc>
          <w:tcPr>
            <w:tcW w:type="pct" w:w="74%"/>
            <w:tcMar>
              <w:top w:type="dxa" w:w="80"/>
              <w:left w:type="dxa" w:w="110"/>
              <w:bottom w:type="dxa" w:w="80"/>
              <w:right w:type="dxa" w:w="110"/>
            </w:tcMar>
          </w:tcPr>
          <w:p>
            <w:pPr>
              <w:spacing w:after="0"/>
            </w:pPr>
            <w:r>
              <w:rPr>
                <w:sz w:val="17"/>
                <w:szCs w:val="17"/>
              </w:rPr>
              <w:t xml:space="preserve">One row per record: document, revision, signatories, content fingerprint, file fingerprint, integrity, retention due date.</w:t>
            </w:r>
          </w:p>
        </w:tc>
      </w:tr>
      <w:tr>
        <w:tc>
          <w:tcPr>
            <w:tcW w:type="pct" w:w="26%"/>
            <w:tcMar>
              <w:top w:type="dxa" w:w="80"/>
              <w:left w:type="dxa" w:w="110"/>
              <w:bottom w:type="dxa" w:w="80"/>
              <w:right w:type="dxa" w:w="110"/>
            </w:tcMar>
          </w:tcPr>
          <w:p>
            <w:pPr>
              <w:spacing w:after="0"/>
            </w:pPr>
            <w:r>
              <w:rPr>
                <w:b/>
                <w:bCs/>
                <w:color w:val="4338CA"/>
                <w:sz w:val="17"/>
                <w:szCs w:val="17"/>
              </w:rPr>
              <w:t xml:space="preserve">empreintes.sha256</w:t>
            </w:r>
          </w:p>
        </w:tc>
        <w:tc>
          <w:tcPr>
            <w:tcW w:type="pct" w:w="74%"/>
            <w:tcMar>
              <w:top w:type="dxa" w:w="80"/>
              <w:left w:type="dxa" w:w="110"/>
              <w:bottom w:type="dxa" w:w="80"/>
              <w:right w:type="dxa" w:w="110"/>
            </w:tcMar>
          </w:tcPr>
          <w:p>
            <w:pPr>
              <w:spacing w:after="0"/>
            </w:pPr>
            <w:r>
              <w:rPr>
                <w:sz w:val="17"/>
                <w:szCs w:val="17"/>
              </w:rPr>
              <w:t xml:space="preserve">The fingerprints of every file, in the standard sha256sum format. This is the file the operating system’s own tool checks.</w:t>
            </w:r>
          </w:p>
        </w:tc>
      </w:tr>
      <w:tr>
        <w:tc>
          <w:tcPr>
            <w:tcW w:type="pct" w:w="26%"/>
            <w:tcMar>
              <w:top w:type="dxa" w:w="80"/>
              <w:left w:type="dxa" w:w="110"/>
              <w:bottom w:type="dxa" w:w="80"/>
              <w:right w:type="dxa" w:w="110"/>
            </w:tcMar>
          </w:tcPr>
          <w:p>
            <w:pPr>
              <w:spacing w:after="0"/>
            </w:pPr>
            <w:r>
              <w:rPr>
                <w:b/>
                <w:bCs/>
                <w:color w:val="4338CA"/>
                <w:sz w:val="17"/>
                <w:szCs w:val="17"/>
              </w:rPr>
              <w:t xml:space="preserve">verifier.mjs</w:t>
            </w:r>
          </w:p>
        </w:tc>
        <w:tc>
          <w:tcPr>
            <w:tcW w:type="pct" w:w="74%"/>
            <w:tcMar>
              <w:top w:type="dxa" w:w="80"/>
              <w:left w:type="dxa" w:w="110"/>
              <w:bottom w:type="dxa" w:w="80"/>
              <w:right w:type="dxa" w:w="110"/>
            </w:tcMar>
          </w:tcPr>
          <w:p>
            <w:pPr>
              <w:spacing w:after="0"/>
            </w:pPr>
            <w:r>
              <w:rPr>
                <w:sz w:val="17"/>
                <w:szCs w:val="17"/>
              </w:rPr>
              <w:t xml:space="preserve">Standalone verifier, no dependency, for a Windows machine without sha256sum.</w:t>
            </w:r>
          </w:p>
        </w:tc>
      </w:tr>
      <w:tr>
        <w:tc>
          <w:tcPr>
            <w:tcW w:type="pct" w:w="26%"/>
            <w:tcMar>
              <w:top w:type="dxa" w:w="80"/>
              <w:left w:type="dxa" w:w="110"/>
              <w:bottom w:type="dxa" w:w="80"/>
              <w:right w:type="dxa" w:w="110"/>
            </w:tcMar>
          </w:tcPr>
          <w:p>
            <w:pPr>
              <w:spacing w:after="0"/>
            </w:pPr>
            <w:r>
              <w:rPr>
                <w:b/>
                <w:bCs/>
                <w:color w:val="4338CA"/>
                <w:sz w:val="17"/>
                <w:szCs w:val="17"/>
              </w:rPr>
              <w:t xml:space="preserve">donnees/</w:t>
            </w:r>
          </w:p>
        </w:tc>
        <w:tc>
          <w:tcPr>
            <w:tcW w:type="pct" w:w="74%"/>
            <w:tcMar>
              <w:top w:type="dxa" w:w="80"/>
              <w:left w:type="dxa" w:w="110"/>
              <w:bottom w:type="dxa" w:w="80"/>
              <w:right w:type="dxa" w:w="110"/>
            </w:tcMar>
          </w:tcPr>
          <w:p>
            <w:pPr>
              <w:spacing w:after="0"/>
            </w:pPr>
            <w:r>
              <w:rPr>
                <w:sz w:val="17"/>
                <w:szCs w:val="17"/>
              </w:rPr>
              <w:t xml:space="preserve">CSV exports of the graph — requirements, specifications, protocols, results, risks, studies, nonconformities, CAPAs, people — the traceability matrix and the complete audit trail.</w:t>
            </w:r>
          </w:p>
        </w:tc>
      </w:tr>
      <w:tr>
        <w:tc>
          <w:tcPr>
            <w:tcW w:type="pct" w:w="26%"/>
            <w:tcMar>
              <w:top w:type="dxa" w:w="80"/>
              <w:left w:type="dxa" w:w="110"/>
              <w:bottom w:type="dxa" w:w="80"/>
              <w:right w:type="dxa" w:w="110"/>
            </w:tcMar>
          </w:tcPr>
          <w:p>
            <w:pPr>
              <w:spacing w:after="0"/>
            </w:pPr>
            <w:r>
              <w:rPr>
                <w:b/>
                <w:bCs/>
                <w:color w:val="4338CA"/>
                <w:sz w:val="17"/>
                <w:szCs w:val="17"/>
              </w:rPr>
              <w:t xml:space="preserve">README.txt</w:t>
            </w:r>
          </w:p>
        </w:tc>
        <w:tc>
          <w:tcPr>
            <w:tcW w:type="pct" w:w="74%"/>
            <w:tcMar>
              <w:top w:type="dxa" w:w="80"/>
              <w:left w:type="dxa" w:w="110"/>
              <w:bottom w:type="dxa" w:w="80"/>
              <w:right w:type="dxa" w:w="110"/>
            </w:tcMar>
          </w:tcPr>
          <w:p>
            <w:pPr>
              <w:spacing w:after="0"/>
            </w:pPr>
            <w:r>
              <w:rPr>
                <w:sz w:val="17"/>
                <w:szCs w:val="17"/>
              </w:rPr>
              <w:t xml:space="preserve">The cover letter: the number to record, the verification commands, any caveats, and the declared retention policy.</w:t>
            </w:r>
          </w:p>
        </w:tc>
      </w:tr>
    </w:tbl>
    <w:p>
      <w:pPr>
        <w:spacing w:after="160"/>
      </w:pPr>
      <w:r>
        <w:rPr>
          <w:sz w:val="20"/>
          <w:szCs w:val="20"/>
        </w:rPr>
        <w:t xml:space="preserve">Two fingerprints accompany each record, and they do not say the same thing. The CONTENT fingerprint covers the values of the file: it is what the signature attests, and it is independent of language and formatting. The FILE fingerprint covers the stored bytes: it is what sha256sum checks. A .docx is a timestamped zip archive — two generations of identical content do not produce identical bytes. That is why records are KEPT rather than re-generated: “we can reproduce it identically” would be a false statement, and it would sit in a regulatory file.</w:t>
      </w:r>
    </w:p>
    <w:p>
      <w:pPr>
        <w:pStyle w:val="Heading1"/>
        <w:spacing w:after="140" w:before="320"/>
      </w:pPr>
      <w:r>
        <w:t xml:space="preserve">5. The legal hold</w:t>
      </w:r>
    </w:p>
    <w:p>
      <w:pPr>
        <w:spacing w:after="140"/>
      </w:pPr>
      <w:r>
        <w:rPr>
          <w:sz w:val="20"/>
          <w:szCs w:val="20"/>
        </w:rPr>
        <w:t xml:space="preserve">A complaint arrives, an inspection is announced, litigation opens: from that moment, any deletion becomes destruction of evidence, whatever the intent of whoever performs it. The legal hold is placed from Settings with a written reason and immediately suspends every deletion in the installation — including those an administrator may otherwise perform, and including the purge of import files launched from the server console.</w:t>
      </w:r>
    </w:p>
    <w:p>
      <w:pPr>
        <w:spacing w:after="140"/>
      </w:pPr>
      <w:r>
        <w:rPr>
          <w:sz w:val="20"/>
          <w:szCs w:val="20"/>
        </w:rPr>
        <w:t xml:space="preserve">The control is a single chokepoint in the code, not a reminder scattered around: a deletion added later without going through it would be a silent loophole. An operational qualification case re-reads the source at every version to make sure of this, and fails if a single deletion bypasses the guard.</w:t>
      </w:r>
    </w:p>
    <w:p>
      <w:pPr>
        <w:spacing w:after="160"/>
      </w:pPr>
      <w:r>
        <w:rPr>
          <w:sz w:val="20"/>
          <w:szCs w:val="20"/>
        </w:rPr>
        <w:t xml:space="preserve">Lifting the hold requires its own reason, distinct from the one used to place it. That is the sensitive gesture of the two: placing only restricts, lifting reopens the possibility of deletion. The audit trail must therefore be able to answer “who reopened it, when, and on what decision”.</w:t>
      </w:r>
    </w:p>
    <w:p>
      <w:pPr>
        <w:pStyle w:val="Heading1"/>
        <w:spacing w:after="140" w:before="320"/>
      </w:pPr>
      <w:r>
        <w:t xml:space="preserve">6. Verifying an archive in five minutes</w:t>
      </w:r>
    </w:p>
    <w:p>
      <w:pPr>
        <w:spacing w:after="140"/>
      </w:pPr>
      <w:r>
        <w:rPr>
          <w:sz w:val="20"/>
          <w:szCs w:val="20"/>
        </w:rPr>
        <w:t xml:space="preserve">This protocol is written to be run by your quality manager, on a machine where Filum is not installed, without us being there.</w:t>
      </w:r>
    </w:p>
    <w:p>
      <w:pPr>
        <w:spacing w:after="90"/>
        <w:ind w:left="300"/>
      </w:pPr>
      <w:r>
        <w:rPr>
          <w:b/>
          <w:bCs/>
          <w:color w:val="4338CA"/>
          <w:sz w:val="20"/>
          <w:szCs w:val="20"/>
        </w:rPr>
        <w:t xml:space="preserve">1. </w:t>
      </w:r>
      <w:r>
        <w:rPr>
          <w:sz w:val="20"/>
          <w:szCs w:val="20"/>
        </w:rPr>
        <w:t xml:space="preserve">From Settings → Inspection archive, download the archive. Unzip it on any machine.</w:t>
      </w:r>
    </w:p>
    <w:p>
      <w:pPr>
        <w:spacing w:after="90"/>
        <w:ind w:left="300"/>
      </w:pPr>
      <w:r>
        <w:rPr>
          <w:b/>
          <w:bCs/>
          <w:color w:val="4338CA"/>
          <w:sz w:val="20"/>
          <w:szCs w:val="20"/>
        </w:rPr>
        <w:t xml:space="preserve">2. </w:t>
      </w:r>
      <w:r>
        <w:rPr>
          <w:sz w:val="20"/>
          <w:szCs w:val="20"/>
        </w:rPr>
        <w:t xml:space="preserve">Open README.txt and note the number shown under “THE NUMBER TO KEEP”.</w:t>
      </w:r>
    </w:p>
    <w:p>
      <w:pPr>
        <w:spacing w:after="90"/>
        <w:ind w:left="300"/>
      </w:pPr>
      <w:r>
        <w:rPr>
          <w:b/>
          <w:bCs/>
          <w:color w:val="4338CA"/>
          <w:sz w:val="20"/>
          <w:szCs w:val="20"/>
        </w:rPr>
        <w:t xml:space="preserve">3. </w:t>
      </w:r>
      <w:r>
        <w:rPr>
          <w:sz w:val="20"/>
          <w:szCs w:val="20"/>
        </w:rPr>
        <w:t xml:space="preserve">Verify the whole archive: “sha256sum -c empreintes.sha256” on Linux or macOS, “node verifier.mjs” elsewhere. Every file must come back intact.</w:t>
      </w:r>
    </w:p>
    <w:p>
      <w:pPr>
        <w:spacing w:after="90"/>
        <w:ind w:left="300"/>
      </w:pPr>
      <w:r>
        <w:rPr>
          <w:b/>
          <w:bCs/>
          <w:color w:val="4338CA"/>
          <w:sz w:val="20"/>
          <w:szCs w:val="20"/>
        </w:rPr>
        <w:t xml:space="preserve">4. </w:t>
      </w:r>
      <w:r>
        <w:rPr>
          <w:sz w:val="20"/>
          <w:szCs w:val="20"/>
        </w:rPr>
        <w:t xml:space="preserve">Recompute the fingerprint of the fingerprint file itself — “certutil -hashfile empreintes.sha256 SHA256” on Windows — and compare it with the number noted at step 2.</w:t>
      </w:r>
    </w:p>
    <w:p>
      <w:pPr>
        <w:spacing w:after="90"/>
        <w:ind w:left="300"/>
      </w:pPr>
      <w:r>
        <w:rPr>
          <w:b/>
          <w:bCs/>
          <w:color w:val="4338CA"/>
          <w:sz w:val="20"/>
          <w:szCs w:val="20"/>
        </w:rPr>
        <w:t xml:space="preserve">5. </w:t>
      </w:r>
      <w:r>
        <w:rPr>
          <w:sz w:val="20"/>
          <w:szCs w:val="20"/>
        </w:rPr>
        <w:t xml:space="preserve">Open manifeste.csv in a spreadsheet, pick a record, open the matching .docx in enregistrements/: this is the approved document, with its signatures and the fingerprint of the attested content.</w:t>
      </w:r>
    </w:p>
    <w:p>
      <w:pPr>
        <w:spacing w:after="90"/>
        <w:ind w:left="300"/>
      </w:pPr>
      <w:r>
        <w:rPr>
          <w:b/>
          <w:bCs/>
          <w:color w:val="4338CA"/>
          <w:sz w:val="20"/>
          <w:szCs w:val="20"/>
        </w:rPr>
        <w:t xml:space="preserve">6. </w:t>
      </w:r>
      <w:r>
        <w:rPr>
          <w:sz w:val="20"/>
          <w:szCs w:val="20"/>
        </w:rPr>
        <w:t xml:space="preserve">Change one character in that .docx and re-run the verification: the file comes back ALTERED. Restore the original copy.</w:t>
      </w:r>
    </w:p>
    <w:p>
      <w:pPr>
        <w:spacing w:after="90"/>
        <w:ind w:left="300"/>
      </w:pPr>
      <w:r>
        <w:rPr>
          <w:b/>
          <w:bCs/>
          <w:color w:val="4338CA"/>
          <w:sz w:val="20"/>
          <w:szCs w:val="20"/>
        </w:rPr>
        <w:t xml:space="preserve">7. </w:t>
      </w:r>
      <w:r>
        <w:rPr>
          <w:sz w:val="20"/>
          <w:szCs w:val="20"/>
        </w:rPr>
        <w:t xml:space="preserve">Record the number from step 2 in your quality-review record. That gesture is what makes the archive stand up.</w:t>
      </w:r>
    </w:p>
    <w:p>
      <w:pPr>
        <w:spacing w:after="160"/>
      </w:pPr>
      <w:r>
        <w:rPr>
          <w:b/>
          <w:bCs/>
          <w:color w:val="047857"/>
          <w:sz w:val="20"/>
          <w:szCs w:val="20"/>
        </w:rPr>
        <w:t xml:space="preserve">If any of these steps does not behave as described, this note is wrong and we want to know.</w:t>
      </w:r>
    </w:p>
    <w:p>
      <w:pPr>
        <w:pStyle w:val="Heading1"/>
        <w:spacing w:after="140" w:before="320"/>
      </w:pPr>
      <w:r>
        <w:t xml:space="preserve">7. What remains yours to do</w:t>
      </w:r>
    </w:p>
    <w:p>
      <w:pPr>
        <w:spacing w:after="60"/>
      </w:pPr>
      <w:r>
        <w:rPr>
          <w:b/>
          <w:bCs/>
          <w:color w:val="4338CA"/>
          <w:sz w:val="20"/>
          <w:szCs w:val="20"/>
        </w:rPr>
        <w:t xml:space="preserve">Decide the period, and justify it</w:t>
      </w:r>
    </w:p>
    <w:p>
      <w:pPr>
        <w:spacing w:after="140"/>
      </w:pPr>
      <w:r>
        <w:rPr>
          <w:sz w:val="20"/>
          <w:szCs w:val="20"/>
        </w:rPr>
        <w:t xml:space="preserve">The period depends on your device’s lifetime, on your target markets and on your own procedure. Filum asks for the value AND for what it rests on, precisely so that the field is not filled in at random.</w:t>
      </w:r>
    </w:p>
    <w:p>
      <w:pPr>
        <w:spacing w:after="60"/>
      </w:pPr>
      <w:r>
        <w:rPr>
          <w:b/>
          <w:bCs/>
          <w:color w:val="4338CA"/>
          <w:sz w:val="20"/>
          <w:szCs w:val="20"/>
        </w:rPr>
        <w:t xml:space="preserve">Back up both volumes</w:t>
      </w:r>
    </w:p>
    <w:p>
      <w:pPr>
        <w:spacing w:after="140"/>
      </w:pPr>
      <w:r>
        <w:rPr>
          <w:sz w:val="20"/>
          <w:szCs w:val="20"/>
        </w:rPr>
        <w:t xml:space="preserve">The archive is an inspection-ready extract, not a backup. The complete copy of the system remains the joint backup of the database and the file volume, described in the installation guide along with its verification.</w:t>
      </w:r>
    </w:p>
    <w:p>
      <w:pPr>
        <w:spacing w:after="60"/>
      </w:pPr>
      <w:r>
        <w:rPr>
          <w:b/>
          <w:bCs/>
          <w:color w:val="4338CA"/>
          <w:sz w:val="20"/>
          <w:szCs w:val="20"/>
        </w:rPr>
        <w:t xml:space="preserve">Produce an archive at the moments that matter</w:t>
      </w:r>
    </w:p>
    <w:p>
      <w:pPr>
        <w:spacing w:after="140"/>
      </w:pPr>
      <w:r>
        <w:rPr>
          <w:sz w:val="20"/>
          <w:szCs w:val="20"/>
        </w:rPr>
        <w:t xml:space="preserve">At every management review, before every major upgrade, at the closure of a programme and at decommissioning. Record the fingerprint of the fingerprint file in the review record: that gesture, and that gesture alone, is what makes the archive stand up years later.</w:t>
      </w:r>
    </w:p>
    <w:p>
      <w:pPr>
        <w:spacing w:after="60"/>
      </w:pPr>
      <w:r>
        <w:rPr>
          <w:b/>
          <w:bCs/>
          <w:color w:val="4338CA"/>
          <w:sz w:val="20"/>
          <w:szCs w:val="20"/>
        </w:rPr>
        <w:t xml:space="preserve">Keep the archive outside the system</w:t>
      </w:r>
    </w:p>
    <w:p>
      <w:pPr>
        <w:spacing w:after="140"/>
      </w:pPr>
      <w:r>
        <w:rPr>
          <w:sz w:val="20"/>
          <w:szCs w:val="20"/>
        </w:rPr>
        <w:t xml:space="preserve">An archive left on the server it is meant to outlive protects nothing. Offline media, document vault, second site — the choice is yours, the principle is not.</w:t>
      </w:r>
    </w:p>
    <w:p>
      <w:pPr>
        <w:spacing w:after="60"/>
      </w:pPr>
      <w:r>
        <w:rPr>
          <w:b/>
          <w:bCs/>
          <w:color w:val="4338CA"/>
          <w:sz w:val="20"/>
          <w:szCs w:val="20"/>
        </w:rPr>
        <w:t xml:space="preserve">Place the legal hold at the right time</w:t>
      </w:r>
    </w:p>
    <w:p>
      <w:pPr>
        <w:spacing w:after="140"/>
      </w:pPr>
      <w:r>
        <w:rPr>
          <w:sz w:val="20"/>
          <w:szCs w:val="20"/>
        </w:rPr>
        <w:t xml:space="preserve">Filum does not know that a complaint has arrived. Placing the hold belongs to your procedure; the software merely enforces the suspension without exception once it is placed.</w:t>
      </w:r>
    </w:p>
    <w:p>
      <w:pPr>
        <w:pStyle w:val="Heading1"/>
        <w:spacing w:after="140" w:before="320"/>
      </w:pPr>
      <w:r>
        <w:t xml:space="preserve">8. What this mechanism does not cover</w:t>
      </w:r>
    </w:p>
    <w:p>
      <w:pPr>
        <w:spacing w:after="140"/>
      </w:pPr>
      <w:r>
        <w:rPr>
          <w:sz w:val="20"/>
          <w:szCs w:val="20"/>
        </w:rPr>
        <w:t xml:space="preserve">These points also appear in the 21 CFR Part 11 matrix delivered with the software. None of them prevents using Filum; each must be known to your quality manager before deployment.</w:t>
      </w:r>
    </w:p>
    <w:p>
      <w:pPr>
        <w:spacing w:after="60"/>
      </w:pPr>
      <w:r>
        <w:rPr>
          <w:b/>
          <w:bCs/>
          <w:color w:val="B45309"/>
          <w:sz w:val="20"/>
          <w:szCs w:val="20"/>
        </w:rPr>
        <w:t xml:space="preserve">The legal hold covers the whole installation</w:t>
      </w:r>
    </w:p>
    <w:p>
      <w:pPr>
        <w:spacing w:after="140"/>
      </w:pPr>
      <w:r>
        <w:rPr>
          <w:sz w:val="20"/>
          <w:szCs w:val="20"/>
        </w:rPr>
        <w:t xml:space="preserve">Filum cannot restrict a suspension to one programme, one batch or one matter: once placed, nothing can be deleted. This is deliberately coarse — too broad a scope is inconvenient, too narrow a scope lets a piece of evidence be destroyed. If your procedure requires per-matter scoping, keep it outside the software.</w:t>
      </w:r>
    </w:p>
    <w:p>
      <w:pPr>
        <w:spacing w:after="60"/>
      </w:pPr>
      <w:r>
        <w:rPr>
          <w:b/>
          <w:bCs/>
          <w:color w:val="B45309"/>
          <w:sz w:val="20"/>
          <w:szCs w:val="20"/>
        </w:rPr>
        <w:t xml:space="preserve">The archive does not replay the graph</w:t>
      </w:r>
    </w:p>
    <w:p>
      <w:pPr>
        <w:spacing w:after="140"/>
      </w:pPr>
      <w:r>
        <w:rPr>
          <w:sz w:val="20"/>
          <w:szCs w:val="20"/>
        </w:rPr>
        <w:t xml:space="preserve">It gives back the records, the tables and the audit trail; it does not give back the application. Finding the impact analysis of a requirement ten years later means reading CSV files, not clicking in an interface. That is the price of independence from the vendor, and we prefer it to the alternative.</w:t>
      </w:r>
    </w:p>
    <w:p>
      <w:pPr>
        <w:spacing w:after="60"/>
      </w:pPr>
      <w:r>
        <w:rPr>
          <w:b/>
          <w:bCs/>
          <w:color w:val="B45309"/>
          <w:sz w:val="20"/>
          <w:szCs w:val="20"/>
        </w:rPr>
        <w:t xml:space="preserve">Records approved before approval-per-revision</w:t>
      </w:r>
    </w:p>
    <w:p>
      <w:pPr>
        <w:spacing w:after="140"/>
      </w:pPr>
      <w:r>
        <w:rPr>
          <w:sz w:val="20"/>
          <w:szCs w:val="20"/>
        </w:rPr>
        <w:t xml:space="preserve">An approval now belongs to a revision: opening the next one creates new rows and leaves those of the released revision untouched, with their signatory, timestamp, signed snapshot and attested content fingerprint. Revisions approved BEFORE this change had their rows overwritten: their signatures survive in the append-only audit trail, and the archive attaches them from there — its manifest then reads “rebuilt from the audit trail” instead of “direct link in the database”. Nothing was reconstructed in the database: a link fabricated after the fact would not be one.</w:t>
      </w:r>
    </w:p>
    <w:p>
      <w:pPr>
        <w:pStyle w:val="Heading1"/>
        <w:spacing w:after="140" w:before="320"/>
      </w:pPr>
      <w:r>
        <w:t xml:space="preserve">9. Wording you can use in your quality documentation</w:t>
      </w:r>
    </w:p>
    <w:p>
      <w:pPr>
        <w:spacing w:after="140"/>
      </w:pPr>
      <w:r>
        <w:rPr>
          <w:sz w:val="20"/>
          <w:szCs w:val="20"/>
        </w:rPr>
        <w:t xml:space="preserve">This note does not make your organisation compliant, and Filum is not “21 CFR Part 11 compliant”: compliance belongs to the organisation operating the system, and the §11.100(c) certification is an act of that organisation towards the FDA. Usable wording:</w:t>
      </w:r>
    </w:p>
    <w:p>
      <w:pPr>
        <w:spacing w:after="200"/>
        <w:ind w:left="400" w:right="400"/>
      </w:pPr>
      <w:r>
        <w:rPr>
          <w:i/>
          <w:iCs/>
          <w:sz w:val="17"/>
          <w:szCs w:val="17"/>
        </w:rPr>
        <w:t xml:space="preserve">“The retention period for design records is defined by [procedure reference] and declared in the system, which carries it onto every archived record. The system applies no automatic deletion at the due date. Approved records are extracted periodically as an archive independent of the software, comprising the approved files byte for byte, their SHA-256 fingerprints verifiable with a standard tool, the complete audit trail and the exports of the design file. The fingerprint of the fingerprint list is recorded in the corresponding management-review record. A legal hold can be placed at any time and suspends, without exception, every deletion in the system.”</w:t>
      </w:r>
    </w:p>
    <w:p>
      <w:pPr>
        <w:spacing w:after="200"/>
      </w:pPr>
      <w:r>
        <w:rPr>
          <w:b/>
          <w:bCs/>
          <w:sz w:val="20"/>
          <w:szCs w:val="20"/>
        </w:rPr>
        <w:t xml:space="preserve">Conversely, never write that the software “purges automatically at the retention due date”: it does not, and a procedure claiming so would be contradicted at the first audit.</w:t>
      </w:r>
    </w:p>
    <w:sectPr>
      <w:headerReference w:type="default" r:id="rId7"/>
      <w:footerReference w:type="default" r:id="rId8"/>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5"/>
        <w:szCs w:val="15"/>
      </w:rPr>
      <w:t xml:space="preserve">Page </w:t>
    </w:r>
    <w:r>
      <w:rPr>
        <w:color w:val="475569"/>
        <w:sz w:val="15"/>
        <w:szCs w:val="15"/>
      </w:rPr>
      <w:fldChar w:fldCharType="begin"/>
      <w:instrText xml:space="preserve">PAGE</w:instrText>
      <w:fldChar w:fldCharType="separate"/>
      <w:fldChar w:fldCharType="end"/>
    </w:r>
    <w:r>
      <w:rPr>
        <w:color w:val="475569"/>
        <w:sz w:val="15"/>
        <w:szCs w:val="15"/>
      </w:rPr>
      <w:t xml:space="preserve"> of </w:t>
    </w:r>
    <w:r>
      <w:rPr>
        <w:color w:val="475569"/>
        <w:sz w:val="15"/>
        <w:szCs w:val="15"/>
      </w:rPr>
      <w:fldChar w:fldCharType="begin"/>
      <w:instrText xml:space="preserve">NUMPAGES</w:instrText>
      <w:fldChar w:fldCharType="separate"/>
      <w:fldChar w:fldCharType="end"/>
    </w:r>
    <w:r>
      <w:rPr>
        <w:color w:val="475569"/>
        <w:sz w:val="15"/>
        <w:szCs w:val="15"/>
      </w:rPr>
      <w:t xml:space="preserve">   ·   To be read with the 21 CFR Part 11 matrix and the data integrity note.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475569"/>
        <w:sz w:val="15"/>
        <w:szCs w:val="15"/>
      </w:rPr>
      <w:t xml:space="preserve">Filum — Retention and archiving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4338CA"/>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Position note — retention and archiving</dc:title>
  <dc:creator>Un-named</dc:creator>
  <cp:lastModifiedBy>Un-named</cp:lastModifiedBy>
  <cp:revision>1</cp:revision>
  <dcterms:created xsi:type="dcterms:W3CDTF">2026-10-01T11:27:45.155Z</dcterms:created>
  <dcterms:modified xsi:type="dcterms:W3CDTF">2026-10-01T11:27:45.156Z</dcterms:modified>
</cp:coreProperties>
</file>

<file path=docProps/custom.xml><?xml version="1.0" encoding="utf-8"?>
<Properties xmlns="http://schemas.openxmlformats.org/officeDocument/2006/custom-properties" xmlns:vt="http://schemas.openxmlformats.org/officeDocument/2006/docPropsVTypes"/>
</file>