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4338CA"/>
          <w:sz w:val="44"/>
          <w:szCs w:val="44"/>
        </w:rPr>
        <w:t xml:space="preserve">Filum</w:t>
      </w:r>
    </w:p>
    <w:p>
      <w:pPr>
        <w:spacing w:after="60"/>
        <w:jc w:val="center"/>
      </w:pPr>
      <w:r>
        <w:rPr>
          <w:b/>
          <w:bCs/>
          <w:sz w:val="34"/>
          <w:szCs w:val="34"/>
        </w:rPr>
        <w:t xml:space="preserve">Software validation file</w:t>
      </w:r>
    </w:p>
    <w:p>
      <w:pPr>
        <w:spacing w:after="700"/>
        <w:jc w:val="center"/>
      </w:pPr>
      <w:r>
        <w:rPr>
          <w:color w:val="475569"/>
          <w:sz w:val="22"/>
          <w:szCs w:val="22"/>
        </w:rPr>
        <w:t xml:space="preserve">What the vendor has verified · What is left for you to qualify</w:t>
      </w:r>
    </w:p>
    <w:p>
      <w:pPr>
        <w:pStyle w:val="Heading1"/>
        <w:spacing w:after="140" w:before="320"/>
      </w:pPr>
      <w:r>
        <w:t xml:space="preserve">1. Purpose and scope</w:t>
      </w:r>
    </w:p>
    <w:p>
      <w:pPr>
        <w:spacing w:after="120"/>
      </w:pPr>
      <w:r>
        <w:rPr>
          <w:sz w:val="20"/>
          <w:szCs w:val="20"/>
        </w:rPr>
        <w:t xml:space="preserve">This file documents the validation of Filum version 1.2.1 by its vendor. It is intended for your quality manager and may be attached as is to your qualification file.</w:t>
      </w:r>
    </w:p>
    <w:p>
      <w:pPr>
        <w:spacing w:after="160"/>
      </w:pPr>
      <w:r>
        <w:rPr>
          <w:sz w:val="20"/>
          <w:szCs w:val="20"/>
        </w:rPr>
        <w:t xml:space="preserve">It does not replace your own validation. EN ISO 13485:2016 §4.1.6 requires you to validate quality management system software applications for YOUR intended use, in YOUR environment. A vendor file is an input to that exercise — a substantial input, which spares you rebuilding the evidence of how the product works internally, but which says nothing about the way you use it.</w:t>
      </w:r>
    </w:p>
    <w:p>
      <w:pPr>
        <w:spacing w:after="160"/>
      </w:pPr>
      <w:r>
        <w:rPr>
          <w:sz w:val="20"/>
          <w:szCs w:val="20"/>
        </w:rPr>
        <w:t xml:space="preserve">The FDA puts it the same way: its guidance “Computer Software Assurance for Production and Quality Management System Software”, dated 3 February 2026, explicitly allows leveraging vendor evidence, and invites concentrating test effort where risk justifies it rather than spreading it uniformly. This file is built accordingly: every requirement carries a risk level, and that level determines the depth of verification.</w:t>
      </w:r>
    </w:p>
    <w:p>
      <w:pPr>
        <w:pStyle w:val="Heading2"/>
        <w:spacing w:after="140" w:before="320"/>
      </w:pPr>
      <w:r>
        <w:t xml:space="preserve">2. Standards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0E7FF"/>
            <w:tcMar>
              <w:top w:type="dxa" w:w="80"/>
              <w:left w:type="dxa" w:w="110"/>
              <w:bottom w:type="dxa" w:w="80"/>
              <w:right w:type="dxa" w:w="110"/>
            </w:tcMar>
          </w:tcPr>
          <w:p>
            <w:pPr>
              <w:spacing w:after="0"/>
            </w:pPr>
            <w:r>
              <w:rPr>
                <w:b/>
                <w:bCs/>
                <w:sz w:val="17"/>
                <w:szCs w:val="17"/>
              </w:rPr>
              <w:t xml:space="preserve">Standard</w:t>
            </w:r>
          </w:p>
        </w:tc>
        <w:tc>
          <w:tcPr>
            <w:tcW w:type="pct" w:w="70%"/>
            <w:shd w:fill="E0E7FF"/>
            <w:tcMar>
              <w:top w:type="dxa" w:w="80"/>
              <w:left w:type="dxa" w:w="110"/>
              <w:bottom w:type="dxa" w:w="80"/>
              <w:right w:type="dxa" w:w="110"/>
            </w:tcMar>
          </w:tcPr>
          <w:p>
            <w:pPr>
              <w:spacing w:after="0"/>
            </w:pPr>
            <w:r>
              <w:rPr>
                <w:b/>
                <w:bCs/>
                <w:sz w:val="17"/>
                <w:szCs w:val="17"/>
              </w:rPr>
              <w:t xml:space="preserve">What it brings to this file</w:t>
            </w:r>
          </w:p>
        </w:tc>
      </w:tr>
      <w:tr>
        <w:tc>
          <w:tcPr>
            <w:tcW w:type="pct" w:w="30%"/>
            <w:tcMar>
              <w:top w:type="dxa" w:w="80"/>
              <w:left w:type="dxa" w:w="110"/>
              <w:bottom w:type="dxa" w:w="80"/>
              <w:right w:type="dxa" w:w="110"/>
            </w:tcMar>
          </w:tcPr>
          <w:p>
            <w:pPr>
              <w:spacing w:after="0"/>
            </w:pPr>
            <w:r>
              <w:rPr>
                <w:sz w:val="17"/>
                <w:szCs w:val="17"/>
              </w:rPr>
              <w:t xml:space="preserve">EN ISO 13485:2016 §4.1.6</w:t>
            </w:r>
          </w:p>
        </w:tc>
        <w:tc>
          <w:tcPr>
            <w:tcW w:type="pct" w:w="70%"/>
            <w:tcMar>
              <w:top w:type="dxa" w:w="80"/>
              <w:left w:type="dxa" w:w="110"/>
              <w:bottom w:type="dxa" w:w="80"/>
              <w:right w:type="dxa" w:w="110"/>
            </w:tcMar>
          </w:tcPr>
          <w:p>
            <w:pPr>
              <w:spacing w:after="0"/>
            </w:pPr>
            <w:r>
              <w:rPr>
                <w:sz w:val="17"/>
                <w:szCs w:val="17"/>
              </w:rPr>
              <w:t xml:space="preserve">Requirement to validate QMS software in proportion to risk, before use and after every change.</w:t>
            </w:r>
          </w:p>
        </w:tc>
      </w:tr>
      <w:tr>
        <w:tc>
          <w:tcPr>
            <w:tcW w:type="pct" w:w="30%"/>
            <w:tcMar>
              <w:top w:type="dxa" w:w="80"/>
              <w:left w:type="dxa" w:w="110"/>
              <w:bottom w:type="dxa" w:w="80"/>
              <w:right w:type="dxa" w:w="110"/>
            </w:tcMar>
          </w:tcPr>
          <w:p>
            <w:pPr>
              <w:spacing w:after="0"/>
            </w:pPr>
            <w:r>
              <w:rPr>
                <w:sz w:val="17"/>
                <w:szCs w:val="17"/>
              </w:rPr>
              <w:t xml:space="preserve">FDA — Computer Software Assurance (3 February 2026)</w:t>
            </w:r>
          </w:p>
        </w:tc>
        <w:tc>
          <w:tcPr>
            <w:tcW w:type="pct" w:w="70%"/>
            <w:tcMar>
              <w:top w:type="dxa" w:w="80"/>
              <w:left w:type="dxa" w:w="110"/>
              <w:bottom w:type="dxa" w:w="80"/>
              <w:right w:type="dxa" w:w="110"/>
            </w:tcMar>
          </w:tcPr>
          <w:p>
            <w:pPr>
              <w:spacing w:after="0"/>
            </w:pPr>
            <w:r>
              <w:rPr>
                <w:sz w:val="17"/>
                <w:szCs w:val="17"/>
              </w:rPr>
              <w:t xml:space="preserve">An approach based on intended use and process risk; vendor evidence may be leveraged. Supersedes the 24 September 2025 version and section 6 of the General Principles of Software Validation (2002).</w:t>
            </w:r>
          </w:p>
        </w:tc>
      </w:tr>
      <w:tr>
        <w:tc>
          <w:tcPr>
            <w:tcW w:type="pct" w:w="30%"/>
            <w:tcMar>
              <w:top w:type="dxa" w:w="80"/>
              <w:left w:type="dxa" w:w="110"/>
              <w:bottom w:type="dxa" w:w="80"/>
              <w:right w:type="dxa" w:w="110"/>
            </w:tcMar>
          </w:tcPr>
          <w:p>
            <w:pPr>
              <w:spacing w:after="0"/>
            </w:pPr>
            <w:r>
              <w:rPr>
                <w:sz w:val="17"/>
                <w:szCs w:val="17"/>
              </w:rPr>
              <w:t xml:space="preserve">ISO/TR 80002-2:2017</w:t>
            </w:r>
          </w:p>
        </w:tc>
        <w:tc>
          <w:tcPr>
            <w:tcW w:type="pct" w:w="70%"/>
            <w:tcMar>
              <w:top w:type="dxa" w:w="80"/>
              <w:left w:type="dxa" w:w="110"/>
              <w:bottom w:type="dxa" w:w="80"/>
              <w:right w:type="dxa" w:w="110"/>
            </w:tcMar>
          </w:tcPr>
          <w:p>
            <w:pPr>
              <w:spacing w:after="0"/>
            </w:pPr>
            <w:r>
              <w:rPr>
                <w:sz w:val="17"/>
                <w:szCs w:val="17"/>
              </w:rPr>
              <w:t xml:space="preserve">Guidance on validating quality system software for medical devices — effort graded by impact.</w:t>
            </w:r>
          </w:p>
        </w:tc>
      </w:tr>
      <w:tr>
        <w:tc>
          <w:tcPr>
            <w:tcW w:type="pct" w:w="30%"/>
            <w:tcMar>
              <w:top w:type="dxa" w:w="80"/>
              <w:left w:type="dxa" w:w="110"/>
              <w:bottom w:type="dxa" w:w="80"/>
              <w:right w:type="dxa" w:w="110"/>
            </w:tcMar>
          </w:tcPr>
          <w:p>
            <w:pPr>
              <w:spacing w:after="0"/>
            </w:pPr>
            <w:r>
              <w:rPr>
                <w:sz w:val="17"/>
                <w:szCs w:val="17"/>
              </w:rPr>
              <w:t xml:space="preserve">GAMP 5 (2nd edition, 2022)</w:t>
            </w:r>
          </w:p>
        </w:tc>
        <w:tc>
          <w:tcPr>
            <w:tcW w:type="pct" w:w="70%"/>
            <w:tcMar>
              <w:top w:type="dxa" w:w="80"/>
              <w:left w:type="dxa" w:w="110"/>
              <w:bottom w:type="dxa" w:w="80"/>
              <w:right w:type="dxa" w:w="110"/>
            </w:tcMar>
          </w:tcPr>
          <w:p>
            <w:pPr>
              <w:spacing w:after="0"/>
            </w:pPr>
            <w:r>
              <w:rPr>
                <w:sz w:val="17"/>
                <w:szCs w:val="17"/>
              </w:rPr>
              <w:t xml:space="preserve">Filum is configurable off-the-shelf software (category 4): configuration covers roles, programmes, document types and the standards library, not code written for one customer.</w:t>
            </w:r>
          </w:p>
        </w:tc>
      </w:tr>
      <w:tr>
        <w:tc>
          <w:tcPr>
            <w:tcW w:type="pct" w:w="30%"/>
            <w:tcMar>
              <w:top w:type="dxa" w:w="80"/>
              <w:left w:type="dxa" w:w="110"/>
              <w:bottom w:type="dxa" w:w="80"/>
              <w:right w:type="dxa" w:w="110"/>
            </w:tcMar>
          </w:tcPr>
          <w:p>
            <w:pPr>
              <w:spacing w:after="0"/>
            </w:pPr>
            <w:r>
              <w:rPr>
                <w:sz w:val="17"/>
                <w:szCs w:val="17"/>
              </w:rPr>
              <w:t xml:space="preserve">21 CFR Part 11</w:t>
            </w:r>
          </w:p>
        </w:tc>
        <w:tc>
          <w:tcPr>
            <w:tcW w:type="pct" w:w="70%"/>
            <w:tcMar>
              <w:top w:type="dxa" w:w="80"/>
              <w:left w:type="dxa" w:w="110"/>
              <w:bottom w:type="dxa" w:w="80"/>
              <w:right w:type="dxa" w:w="110"/>
            </w:tcMar>
          </w:tcPr>
          <w:p>
            <w:pPr>
              <w:spacing w:after="0"/>
            </w:pPr>
            <w:r>
              <w:rPr>
                <w:sz w:val="17"/>
                <w:szCs w:val="17"/>
              </w:rPr>
              <w:t xml:space="preserve">The technical controls your electronic records depend on. The clause-by-clause matrix is a separate document, supplied with this one.</w:t>
            </w:r>
          </w:p>
        </w:tc>
      </w:tr>
    </w:tbl>
    <w:p>
      <w:pPr>
        <w:pStyle w:val="Heading1"/>
        <w:spacing w:after="140" w:before="320"/>
      </w:pPr>
      <w:r>
        <w:t xml:space="preserve">3. Validation requirements</w:t>
      </w:r>
    </w:p>
    <w:p>
      <w:pPr>
        <w:spacing w:after="140"/>
      </w:pPr>
      <w:r>
        <w:rPr>
          <w:sz w:val="20"/>
          <w:szCs w:val="20"/>
        </w:rPr>
        <w:t xml:space="preserve">The 49 requirements below state what the software must do. The risk level is that of the requirement FAILING, not of its commercial importance: it determines the depth of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shd w:fill="E0E7FF"/>
            <w:tcMar>
              <w:top w:type="dxa" w:w="80"/>
              <w:left w:type="dxa" w:w="110"/>
              <w:bottom w:type="dxa" w:w="80"/>
              <w:right w:type="dxa" w:w="110"/>
            </w:tcMar>
          </w:tcPr>
          <w:p>
            <w:pPr>
              <w:spacing w:after="0"/>
            </w:pPr>
            <w:r>
              <w:rPr>
                <w:b/>
                <w:bCs/>
                <w:sz w:val="17"/>
                <w:szCs w:val="17"/>
              </w:rPr>
              <w:t xml:space="preserve">Ref. / risk</w:t>
            </w:r>
          </w:p>
        </w:tc>
        <w:tc>
          <w:tcPr>
            <w:tcW w:type="pct" w:w="41%"/>
            <w:shd w:fill="E0E7FF"/>
            <w:tcMar>
              <w:top w:type="dxa" w:w="80"/>
              <w:left w:type="dxa" w:w="110"/>
              <w:bottom w:type="dxa" w:w="80"/>
              <w:right w:type="dxa" w:w="110"/>
            </w:tcMar>
          </w:tcPr>
          <w:p>
            <w:pPr>
              <w:spacing w:after="0"/>
            </w:pPr>
            <w:r>
              <w:rPr>
                <w:b/>
                <w:bCs/>
                <w:sz w:val="17"/>
                <w:szCs w:val="17"/>
              </w:rPr>
              <w:t xml:space="preserve">Requirement</w:t>
            </w:r>
          </w:p>
        </w:tc>
        <w:tc>
          <w:tcPr>
            <w:tcW w:type="pct" w:w="28%"/>
            <w:shd w:fill="E0E7FF"/>
            <w:tcMar>
              <w:top w:type="dxa" w:w="80"/>
              <w:left w:type="dxa" w:w="110"/>
              <w:bottom w:type="dxa" w:w="80"/>
              <w:right w:type="dxa" w:w="110"/>
            </w:tcMar>
          </w:tcPr>
          <w:p>
            <w:pPr>
              <w:spacing w:after="0"/>
            </w:pPr>
            <w:r>
              <w:rPr>
                <w:b/>
                <w:bCs/>
                <w:sz w:val="17"/>
                <w:szCs w:val="17"/>
              </w:rPr>
              <w:t xml:space="preserve">Why this risk level</w:t>
            </w:r>
          </w:p>
        </w:tc>
        <w:tc>
          <w:tcPr>
            <w:tcW w:type="pct" w:w="20%"/>
            <w:shd w:fill="E0E7FF"/>
            <w:tcMar>
              <w:top w:type="dxa" w:w="80"/>
              <w:left w:type="dxa" w:w="110"/>
              <w:bottom w:type="dxa" w:w="80"/>
              <w:right w:type="dxa" w:w="110"/>
            </w:tcMar>
          </w:tcPr>
          <w:p>
            <w:pPr>
              <w:spacing w:after="0"/>
            </w:pPr>
            <w:r>
              <w:rPr>
                <w:b/>
                <w:bCs/>
                <w:sz w:val="17"/>
                <w:szCs w:val="17"/>
              </w:rPr>
              <w:t xml:space="preserve">Clauses concerned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URS-01</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software exposes no design-file data without a valid authenticated session, download routes included.</w:t>
            </w:r>
          </w:p>
        </w:tc>
        <w:tc>
          <w:tcPr>
            <w:tcW w:type="pct" w:w="28%"/>
            <w:tcMar>
              <w:top w:type="dxa" w:w="80"/>
              <w:left w:type="dxa" w:w="110"/>
              <w:bottom w:type="dxa" w:w="80"/>
              <w:right w:type="dxa" w:w="110"/>
            </w:tcMar>
          </w:tcPr>
          <w:p>
            <w:pPr>
              <w:spacing w:after="0"/>
            </w:pPr>
            <w:r>
              <w:rPr>
                <w:sz w:val="17"/>
                <w:szCs w:val="17"/>
              </w:rPr>
              <w:t xml:space="preserve">A leak of design records compromises the customer's trade secrets and the attribution of actions (ALCOA+).</w:t>
            </w:r>
          </w:p>
        </w:tc>
        <w:tc>
          <w:tcPr>
            <w:tcW w:type="pct" w:w="20%"/>
            <w:tcMar>
              <w:top w:type="dxa" w:w="80"/>
              <w:left w:type="dxa" w:w="110"/>
              <w:bottom w:type="dxa" w:w="80"/>
              <w:right w:type="dxa" w:w="110"/>
            </w:tcMar>
          </w:tcPr>
          <w:p>
            <w:pPr>
              <w:spacing w:after="0"/>
            </w:pPr>
            <w:r>
              <w:rPr>
                <w:sz w:val="17"/>
                <w:szCs w:val="17"/>
              </w:rPr>
              <w:t xml:space="preserve">21 CFR 11.10(d) · 21 CFR 11.10(g)</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URS-02</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Authority checks are enforced server-side: a role can execute only the operations its level permits, regardless of what the interface displays.</w:t>
            </w:r>
          </w:p>
        </w:tc>
        <w:tc>
          <w:tcPr>
            <w:tcW w:type="pct" w:w="28%"/>
            <w:tcMar>
              <w:top w:type="dxa" w:w="80"/>
              <w:left w:type="dxa" w:w="110"/>
              <w:bottom w:type="dxa" w:w="80"/>
              <w:right w:type="dxa" w:w="110"/>
            </w:tcMar>
          </w:tcPr>
          <w:p>
            <w:pPr>
              <w:spacing w:after="0"/>
            </w:pPr>
            <w:r>
              <w:rPr>
                <w:sz w:val="17"/>
                <w:szCs w:val="17"/>
              </w:rPr>
              <w:t xml:space="preserve">A write by an unauthorised person invalidates the attribution of records and the accountability attached to it.</w:t>
            </w:r>
          </w:p>
        </w:tc>
        <w:tc>
          <w:tcPr>
            <w:tcW w:type="pct" w:w="20%"/>
            <w:tcMar>
              <w:top w:type="dxa" w:w="80"/>
              <w:left w:type="dxa" w:w="110"/>
              <w:bottom w:type="dxa" w:w="80"/>
              <w:right w:type="dxa" w:w="110"/>
            </w:tcMar>
          </w:tcPr>
          <w:p>
            <w:pPr>
              <w:spacing w:after="0"/>
            </w:pPr>
            <w:r>
              <w:rPr>
                <w:sz w:val="17"/>
                <w:szCs w:val="17"/>
              </w:rPr>
              <w:t xml:space="preserve">21 CFR 11.10(d) · ISO 13485 §4.1.6</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URS-03</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Every write to the file produces an audit-trail entry carrying the author, the system timestamp and the reason for the operation.</w:t>
            </w:r>
          </w:p>
        </w:tc>
        <w:tc>
          <w:tcPr>
            <w:tcW w:type="pct" w:w="28%"/>
            <w:tcMar>
              <w:top w:type="dxa" w:w="80"/>
              <w:left w:type="dxa" w:w="110"/>
              <w:bottom w:type="dxa" w:w="80"/>
              <w:right w:type="dxa" w:w="110"/>
            </w:tcMar>
          </w:tcPr>
          <w:p>
            <w:pPr>
              <w:spacing w:after="0"/>
            </w:pPr>
            <w:r>
              <w:rPr>
                <w:sz w:val="17"/>
                <w:szCs w:val="17"/>
              </w:rPr>
              <w:t xml:space="preserve">Without a complete audit trail no record is defensible: it is the first thing an inspector asks for.</w:t>
            </w:r>
          </w:p>
        </w:tc>
        <w:tc>
          <w:tcPr>
            <w:tcW w:type="pct" w:w="20%"/>
            <w:tcMar>
              <w:top w:type="dxa" w:w="80"/>
              <w:left w:type="dxa" w:w="110"/>
              <w:bottom w:type="dxa" w:w="80"/>
              <w:right w:type="dxa" w:w="110"/>
            </w:tcMar>
          </w:tcPr>
          <w:p>
            <w:pPr>
              <w:spacing w:after="0"/>
            </w:pPr>
            <w:r>
              <w:rPr>
                <w:sz w:val="17"/>
                <w:szCs w:val="17"/>
              </w:rPr>
              <w:t xml:space="preserve">21 CFR 11.10(e)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URS-04</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audit trail is append-only: no function of the application modifies or deletes an existing entry.</w:t>
            </w:r>
          </w:p>
        </w:tc>
        <w:tc>
          <w:tcPr>
            <w:tcW w:type="pct" w:w="28%"/>
            <w:tcMar>
              <w:top w:type="dxa" w:w="80"/>
              <w:left w:type="dxa" w:w="110"/>
              <w:bottom w:type="dxa" w:w="80"/>
              <w:right w:type="dxa" w:w="110"/>
            </w:tcMar>
          </w:tcPr>
          <w:p>
            <w:pPr>
              <w:spacing w:after="0"/>
            </w:pPr>
            <w:r>
              <w:rPr>
                <w:sz w:val="17"/>
                <w:szCs w:val="17"/>
              </w:rPr>
              <w:t xml:space="preserve">A rewritable trail proves nothing; on the contrary, it gives false assurance.</w:t>
            </w:r>
          </w:p>
        </w:tc>
        <w:tc>
          <w:tcPr>
            <w:tcW w:type="pct" w:w="20%"/>
            <w:tcMar>
              <w:top w:type="dxa" w:w="80"/>
              <w:left w:type="dxa" w:w="110"/>
              <w:bottom w:type="dxa" w:w="80"/>
              <w:right w:type="dxa" w:w="110"/>
            </w:tcMar>
          </w:tcPr>
          <w:p>
            <w:pPr>
              <w:spacing w:after="0"/>
            </w:pPr>
            <w:r>
              <w:rPr>
                <w:sz w:val="17"/>
                <w:szCs w:val="17"/>
              </w:rPr>
              <w:t xml:space="preserve">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URS-05</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Every signature application requires two distinct identification components: the authenticated session and the password re-entered.</w:t>
            </w:r>
          </w:p>
        </w:tc>
        <w:tc>
          <w:tcPr>
            <w:tcW w:type="pct" w:w="28%"/>
            <w:tcMar>
              <w:top w:type="dxa" w:w="80"/>
              <w:left w:type="dxa" w:w="110"/>
              <w:bottom w:type="dxa" w:w="80"/>
              <w:right w:type="dxa" w:w="110"/>
            </w:tcMar>
          </w:tcPr>
          <w:p>
            <w:pPr>
              <w:spacing w:after="0"/>
            </w:pPr>
            <w:r>
              <w:rPr>
                <w:sz w:val="17"/>
                <w:szCs w:val="17"/>
              </w:rPr>
              <w:t xml:space="preserve">A signature applied without re-authentication could be the work of anyone walking past an unlocked workstation.</w:t>
            </w:r>
          </w:p>
        </w:tc>
        <w:tc>
          <w:tcPr>
            <w:tcW w:type="pct" w:w="20%"/>
            <w:tcMar>
              <w:top w:type="dxa" w:w="80"/>
              <w:left w:type="dxa" w:w="110"/>
              <w:bottom w:type="dxa" w:w="80"/>
              <w:right w:type="dxa" w:w="110"/>
            </w:tcMar>
          </w:tcPr>
          <w:p>
            <w:pPr>
              <w:spacing w:after="0"/>
            </w:pPr>
            <w:r>
              <w:rPr>
                <w:sz w:val="17"/>
                <w:szCs w:val="17"/>
              </w:rPr>
              <w:t xml:space="preserve">21 CFR 11.200(a)(1)</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URS-06</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A password is verified against a derived fingerprint (scrypt, unique salt per account) and never stored in clear; two accounts with the same password produce different fingerprints.</w:t>
            </w:r>
          </w:p>
        </w:tc>
        <w:tc>
          <w:tcPr>
            <w:tcW w:type="pct" w:w="28%"/>
            <w:tcMar>
              <w:top w:type="dxa" w:w="80"/>
              <w:left w:type="dxa" w:w="110"/>
              <w:bottom w:type="dxa" w:w="80"/>
              <w:right w:type="dxa" w:w="110"/>
            </w:tcMar>
          </w:tcPr>
          <w:p>
            <w:pPr>
              <w:spacing w:after="0"/>
            </w:pPr>
            <w:r>
              <w:rPr>
                <w:sz w:val="17"/>
                <w:szCs w:val="17"/>
              </w:rPr>
              <w:t xml:space="preserve">The password is the second component of the electronic signature: its compromise compromises every signature of that account.</w:t>
            </w:r>
          </w:p>
        </w:tc>
        <w:tc>
          <w:tcPr>
            <w:tcW w:type="pct" w:w="20%"/>
            <w:tcMar>
              <w:top w:type="dxa" w:w="80"/>
              <w:left w:type="dxa" w:w="110"/>
              <w:bottom w:type="dxa" w:w="80"/>
              <w:right w:type="dxa" w:w="110"/>
            </w:tcMar>
          </w:tcPr>
          <w:p>
            <w:pPr>
              <w:spacing w:after="0"/>
            </w:pPr>
            <w:r>
              <w:rPr>
                <w:sz w:val="17"/>
                <w:szCs w:val="17"/>
              </w:rPr>
              <w:t xml:space="preserve">21 CFR 11.300(b) · 21 CFR 11.300(d)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URS-07</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signature manifestation carries, in human-readable form, the signer's frozen printed name, the meaning of the signature and its UTC timestamp.</w:t>
            </w:r>
          </w:p>
        </w:tc>
        <w:tc>
          <w:tcPr>
            <w:tcW w:type="pct" w:w="28%"/>
            <w:tcMar>
              <w:top w:type="dxa" w:w="80"/>
              <w:left w:type="dxa" w:w="110"/>
              <w:bottom w:type="dxa" w:w="80"/>
              <w:right w:type="dxa" w:w="110"/>
            </w:tcMar>
          </w:tcPr>
          <w:p>
            <w:pPr>
              <w:spacing w:after="0"/>
            </w:pPr>
            <w:r>
              <w:rPr>
                <w:sz w:val="17"/>
                <w:szCs w:val="17"/>
              </w:rPr>
              <w:t xml:space="preserve">A signature whose meaning and author cannot be read is not a signature within the meaning of 11.50.</w:t>
            </w:r>
          </w:p>
        </w:tc>
        <w:tc>
          <w:tcPr>
            <w:tcW w:type="pct" w:w="20%"/>
            <w:tcMar>
              <w:top w:type="dxa" w:w="80"/>
              <w:left w:type="dxa" w:w="110"/>
              <w:bottom w:type="dxa" w:w="80"/>
              <w:right w:type="dxa" w:w="110"/>
            </w:tcMar>
          </w:tcPr>
          <w:p>
            <w:pPr>
              <w:spacing w:after="0"/>
            </w:pPr>
            <w:r>
              <w:rPr>
                <w:sz w:val="17"/>
                <w:szCs w:val="17"/>
              </w:rPr>
              <w:t xml:space="preserve">21 CFR 11.50(a)</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URS-08</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Every signature is linked to the record it attests by the SHA-256 fingerprint of the frozen content, copied into the signature record itself.</w:t>
            </w:r>
          </w:p>
        </w:tc>
        <w:tc>
          <w:tcPr>
            <w:tcW w:type="pct" w:w="28%"/>
            <w:tcMar>
              <w:top w:type="dxa" w:w="80"/>
              <w:left w:type="dxa" w:w="110"/>
              <w:bottom w:type="dxa" w:w="80"/>
              <w:right w:type="dxa" w:w="110"/>
            </w:tcMar>
          </w:tcPr>
          <w:p>
            <w:pPr>
              <w:spacing w:after="0"/>
            </w:pPr>
            <w:r>
              <w:rPr>
                <w:sz w:val="17"/>
                <w:szCs w:val="17"/>
              </w:rPr>
              <w:t xml:space="preserve">Without that link a signature can be transposed onto other content — precisely what 11.70 sets out to prevent.</w:t>
            </w:r>
          </w:p>
        </w:tc>
        <w:tc>
          <w:tcPr>
            <w:tcW w:type="pct" w:w="20%"/>
            <w:tcMar>
              <w:top w:type="dxa" w:w="80"/>
              <w:left w:type="dxa" w:w="110"/>
              <w:bottom w:type="dxa" w:w="80"/>
              <w:right w:type="dxa" w:w="110"/>
            </w:tcMar>
          </w:tcPr>
          <w:p>
            <w:pPr>
              <w:spacing w:after="0"/>
            </w:pPr>
            <w:r>
              <w:rPr>
                <w:sz w:val="17"/>
                <w:szCs w:val="17"/>
              </w:rPr>
              <w:t xml:space="preserve">21 CFR 11.70</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URS-09</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Sending a document into review FREEZES its content: the fingerprint of the projected content is computed and the file produced is kept byte for byte.</w:t>
            </w:r>
          </w:p>
        </w:tc>
        <w:tc>
          <w:tcPr>
            <w:tcW w:type="pct" w:w="28%"/>
            <w:tcMar>
              <w:top w:type="dxa" w:w="80"/>
              <w:left w:type="dxa" w:w="110"/>
              <w:bottom w:type="dxa" w:w="80"/>
              <w:right w:type="dxa" w:w="110"/>
            </w:tcMar>
          </w:tcPr>
          <w:p>
            <w:pPr>
              <w:spacing w:after="0"/>
            </w:pPr>
            <w:r>
              <w:rPr>
                <w:sz w:val="17"/>
                <w:szCs w:val="17"/>
              </w:rPr>
              <w:t xml:space="preserve">A document projected from a graph is a record only if one can say which content it is.</w:t>
            </w:r>
          </w:p>
        </w:tc>
        <w:tc>
          <w:tcPr>
            <w:tcW w:type="pct" w:w="20%"/>
            <w:tcMar>
              <w:top w:type="dxa" w:w="80"/>
              <w:left w:type="dxa" w:w="110"/>
              <w:bottom w:type="dxa" w:w="80"/>
              <w:right w:type="dxa" w:w="110"/>
            </w:tcMar>
          </w:tcPr>
          <w:p>
            <w:pPr>
              <w:spacing w:after="0"/>
            </w:pPr>
            <w:r>
              <w:rPr>
                <w:sz w:val="17"/>
                <w:szCs w:val="17"/>
              </w:rPr>
              <w:t xml:space="preserve">21 CFR 11.10(b) · 21 CFR 11.10(c)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URS-10</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Downloading a frozen document serves the stored bytes, never a regeneration, and refuses a file whose fingerprint no longer matches.</w:t>
            </w:r>
          </w:p>
        </w:tc>
        <w:tc>
          <w:tcPr>
            <w:tcW w:type="pct" w:w="28%"/>
            <w:tcMar>
              <w:top w:type="dxa" w:w="80"/>
              <w:left w:type="dxa" w:w="110"/>
              <w:bottom w:type="dxa" w:w="80"/>
              <w:right w:type="dxa" w:w="110"/>
            </w:tcMar>
          </w:tcPr>
          <w:p>
            <w:pPr>
              <w:spacing w:after="0"/>
            </w:pPr>
            <w:r>
              <w:rPr>
                <w:sz w:val="17"/>
                <w:szCs w:val="17"/>
              </w:rPr>
              <w:t xml:space="preserve">Serving a regeneration instead of the approved record amounts to handing the inspector a document nobody signed.</w:t>
            </w:r>
          </w:p>
        </w:tc>
        <w:tc>
          <w:tcPr>
            <w:tcW w:type="pct" w:w="20%"/>
            <w:tcMar>
              <w:top w:type="dxa" w:w="80"/>
              <w:left w:type="dxa" w:w="110"/>
              <w:bottom w:type="dxa" w:w="80"/>
              <w:right w:type="dxa" w:w="110"/>
            </w:tcMar>
          </w:tcPr>
          <w:p>
            <w:pPr>
              <w:spacing w:after="0"/>
            </w:pPr>
            <w:r>
              <w:rPr>
                <w:sz w:val="17"/>
                <w:szCs w:val="17"/>
              </w:rPr>
              <w:t xml:space="preserve">21 CFR 11.10(b)</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URS-11</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Release is refused if the content has changed since the freeze, and the discrepancy is written to the audit trail with both fingerprints.</w:t>
            </w:r>
          </w:p>
        </w:tc>
        <w:tc>
          <w:tcPr>
            <w:tcW w:type="pct" w:w="28%"/>
            <w:tcMar>
              <w:top w:type="dxa" w:w="80"/>
              <w:left w:type="dxa" w:w="110"/>
              <w:bottom w:type="dxa" w:w="80"/>
              <w:right w:type="dxa" w:w="110"/>
            </w:tcMar>
          </w:tcPr>
          <w:p>
            <w:pPr>
              <w:spacing w:after="0"/>
            </w:pPr>
            <w:r>
              <w:rPr>
                <w:sz w:val="17"/>
                <w:szCs w:val="17"/>
              </w:rPr>
              <w:t xml:space="preserve">Releasing content different from what was signed would produce an approved record that nobody actually approved.</w:t>
            </w:r>
          </w:p>
        </w:tc>
        <w:tc>
          <w:tcPr>
            <w:tcW w:type="pct" w:w="20%"/>
            <w:tcMar>
              <w:top w:type="dxa" w:w="80"/>
              <w:left w:type="dxa" w:w="110"/>
              <w:bottom w:type="dxa" w:w="80"/>
              <w:right w:type="dxa" w:w="110"/>
            </w:tcMar>
          </w:tcPr>
          <w:p>
            <w:pPr>
              <w:spacing w:after="0"/>
            </w:pPr>
            <w:r>
              <w:rPr>
                <w:sz w:val="17"/>
                <w:szCs w:val="17"/>
              </w:rPr>
              <w:t xml:space="preserve">21 CFR 11.10(a) · 21 CFR 11.70</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URS-12</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Any reopening of the content — return to draft or new revision — invalidates every signature applied and clears what described the act.</w:t>
            </w:r>
          </w:p>
        </w:tc>
        <w:tc>
          <w:tcPr>
            <w:tcW w:type="pct" w:w="28%"/>
            <w:tcMar>
              <w:top w:type="dxa" w:w="80"/>
              <w:left w:type="dxa" w:w="110"/>
              <w:bottom w:type="dxa" w:w="80"/>
              <w:right w:type="dxa" w:w="110"/>
            </w:tcMar>
          </w:tcPr>
          <w:p>
            <w:pPr>
              <w:spacing w:after="0"/>
            </w:pPr>
            <w:r>
              <w:rPr>
                <w:sz w:val="17"/>
                <w:szCs w:val="17"/>
              </w:rPr>
              <w:t xml:space="preserve">A signature surviving a change of content attests to a state that no longer exists.</w:t>
            </w:r>
          </w:p>
        </w:tc>
        <w:tc>
          <w:tcPr>
            <w:tcW w:type="pct" w:w="20%"/>
            <w:tcMar>
              <w:top w:type="dxa" w:w="80"/>
              <w:left w:type="dxa" w:w="110"/>
              <w:bottom w:type="dxa" w:w="80"/>
              <w:right w:type="dxa" w:w="110"/>
            </w:tcMar>
          </w:tcPr>
          <w:p>
            <w:pPr>
              <w:spacing w:after="0"/>
            </w:pPr>
            <w:r>
              <w:rPr>
                <w:sz w:val="17"/>
                <w:szCs w:val="17"/>
              </w:rPr>
              <w:t xml:space="preserve">21 CFR 11.70 · ISO 13485 §7.3.9</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URS-13</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Release is locked: at least one signature applied, no pending approval, no open review thread.</w:t>
            </w:r>
          </w:p>
        </w:tc>
        <w:tc>
          <w:tcPr>
            <w:tcW w:type="pct" w:w="28%"/>
            <w:tcMar>
              <w:top w:type="dxa" w:w="80"/>
              <w:left w:type="dxa" w:w="110"/>
              <w:bottom w:type="dxa" w:w="80"/>
              <w:right w:type="dxa" w:w="110"/>
            </w:tcMar>
          </w:tcPr>
          <w:p>
            <w:pPr>
              <w:spacing w:after="0"/>
            </w:pPr>
            <w:r>
              <w:rPr>
                <w:sz w:val="17"/>
                <w:szCs w:val="17"/>
              </w:rPr>
              <w:t xml:space="preserve">A document released without a signature would contradict the document control process, without however altering an existing record.</w:t>
            </w:r>
          </w:p>
        </w:tc>
        <w:tc>
          <w:tcPr>
            <w:tcW w:type="pct" w:w="20%"/>
            <w:tcMar>
              <w:top w:type="dxa" w:w="80"/>
              <w:left w:type="dxa" w:w="110"/>
              <w:bottom w:type="dxa" w:w="80"/>
              <w:right w:type="dxa" w:w="110"/>
            </w:tcMar>
          </w:tcPr>
          <w:p>
            <w:pPr>
              <w:spacing w:after="0"/>
            </w:pPr>
            <w:r>
              <w:rPr>
                <w:sz w:val="17"/>
                <w:szCs w:val="17"/>
              </w:rPr>
              <w:t xml:space="preserve">ISO 13485 §4.2.4 · ISO 13485 §7.3.5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URS-14</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Content freezes are append-only: a superseded freeze is marked as such and stays viewable and downloadable.</w:t>
            </w:r>
          </w:p>
        </w:tc>
        <w:tc>
          <w:tcPr>
            <w:tcW w:type="pct" w:w="28%"/>
            <w:tcMar>
              <w:top w:type="dxa" w:w="80"/>
              <w:left w:type="dxa" w:w="110"/>
              <w:bottom w:type="dxa" w:w="80"/>
              <w:right w:type="dxa" w:w="110"/>
            </w:tcMar>
          </w:tcPr>
          <w:p>
            <w:pPr>
              <w:spacing w:after="0"/>
            </w:pPr>
            <w:r>
              <w:rPr>
                <w:sz w:val="17"/>
                <w:szCs w:val="17"/>
              </w:rPr>
              <w:t xml:space="preserve">The approved record of an earlier revision must stay available throughout the retention period.</w:t>
            </w:r>
          </w:p>
        </w:tc>
        <w:tc>
          <w:tcPr>
            <w:tcW w:type="pct" w:w="20%"/>
            <w:tcMar>
              <w:top w:type="dxa" w:w="80"/>
              <w:left w:type="dxa" w:w="110"/>
              <w:bottom w:type="dxa" w:w="80"/>
              <w:right w:type="dxa" w:w="110"/>
            </w:tcMar>
          </w:tcPr>
          <w:p>
            <w:pPr>
              <w:spacing w:after="0"/>
            </w:pPr>
            <w:r>
              <w:rPr>
                <w:sz w:val="17"/>
                <w:szCs w:val="17"/>
              </w:rPr>
              <w:t xml:space="preserve">21 CFR 11.10(c)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URS-15</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analytical performance engine returns, on the worked examples of CLSI protocols EP05, EP06, EP09, EP17, EP25 and EP26, the values published by those protocols.</w:t>
            </w:r>
          </w:p>
        </w:tc>
        <w:tc>
          <w:tcPr>
            <w:tcW w:type="pct" w:w="28%"/>
            <w:tcMar>
              <w:top w:type="dxa" w:w="80"/>
              <w:left w:type="dxa" w:w="110"/>
              <w:bottom w:type="dxa" w:w="80"/>
              <w:right w:type="dxa" w:w="110"/>
            </w:tcMar>
          </w:tcPr>
          <w:p>
            <w:pPr>
              <w:spacing w:after="0"/>
            </w:pPr>
            <w:r>
              <w:rPr>
                <w:sz w:val="17"/>
                <w:szCs w:val="17"/>
              </w:rPr>
              <w:t xml:space="preserve">A wrong computation would produce a wrong conformity conclusion on an analytical performance claimed in the marketing file.</w:t>
            </w:r>
          </w:p>
        </w:tc>
        <w:tc>
          <w:tcPr>
            <w:tcW w:type="pct" w:w="20%"/>
            <w:tcMar>
              <w:top w:type="dxa" w:w="80"/>
              <w:left w:type="dxa" w:w="110"/>
              <w:bottom w:type="dxa" w:w="80"/>
              <w:right w:type="dxa" w:w="110"/>
            </w:tcMar>
          </w:tcPr>
          <w:p>
            <w:pPr>
              <w:spacing w:after="0"/>
            </w:pPr>
            <w:r>
              <w:rPr>
                <w:sz w:val="17"/>
                <w:szCs w:val="17"/>
              </w:rPr>
              <w:t xml:space="preserve">ISO 13485 §7.3.6 · IVDR annexe I §9</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URS-16</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Control characters forbidden by the XML specification are neutralised on entry, so that no data migrated from a third-party tool can make a generated record unreadable.</w:t>
            </w:r>
          </w:p>
        </w:tc>
        <w:tc>
          <w:tcPr>
            <w:tcW w:type="pct" w:w="28%"/>
            <w:tcMar>
              <w:top w:type="dxa" w:w="80"/>
              <w:left w:type="dxa" w:w="110"/>
              <w:bottom w:type="dxa" w:w="80"/>
              <w:right w:type="dxa" w:w="110"/>
            </w:tcMar>
          </w:tcPr>
          <w:p>
            <w:pPr>
              <w:spacing w:after="0"/>
            </w:pPr>
            <w:r>
              <w:rPr>
                <w:sz w:val="17"/>
                <w:szCs w:val="17"/>
              </w:rPr>
              <w:t xml:space="preserve">A corrupted record is a lost record: the data exists in the database but the readable copy no longer opens.</w:t>
            </w:r>
          </w:p>
        </w:tc>
        <w:tc>
          <w:tcPr>
            <w:tcW w:type="pct" w:w="20%"/>
            <w:tcMar>
              <w:top w:type="dxa" w:w="80"/>
              <w:left w:type="dxa" w:w="110"/>
              <w:bottom w:type="dxa" w:w="80"/>
              <w:right w:type="dxa" w:w="110"/>
            </w:tcMar>
          </w:tcPr>
          <w:p>
            <w:pPr>
              <w:spacing w:after="0"/>
            </w:pPr>
            <w:r>
              <w:rPr>
                <w:sz w:val="17"/>
                <w:szCs w:val="17"/>
              </w:rPr>
              <w:t xml:space="preserve">21 CFR 11.10(b)</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URS-17</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File-based data migration neutralises formula prefixes and preserves multi-line cells between quotes.</w:t>
            </w:r>
          </w:p>
        </w:tc>
        <w:tc>
          <w:tcPr>
            <w:tcW w:type="pct" w:w="28%"/>
            <w:tcMar>
              <w:top w:type="dxa" w:w="80"/>
              <w:left w:type="dxa" w:w="110"/>
              <w:bottom w:type="dxa" w:w="80"/>
              <w:right w:type="dxa" w:w="110"/>
            </w:tcMar>
          </w:tcPr>
          <w:p>
            <w:pPr>
              <w:spacing w:after="0"/>
            </w:pPr>
            <w:r>
              <w:rPr>
                <w:sz w:val="17"/>
                <w:szCs w:val="17"/>
              </w:rPr>
              <w:t xml:space="preserve">A value interpreted as a formula by the spreadsheet shows an error where the screen shows the right data — the discrepancy surfaces during an audit.</w:t>
            </w:r>
          </w:p>
        </w:tc>
        <w:tc>
          <w:tcPr>
            <w:tcW w:type="pct" w:w="20%"/>
            <w:tcMar>
              <w:top w:type="dxa" w:w="80"/>
              <w:left w:type="dxa" w:w="110"/>
              <w:bottom w:type="dxa" w:w="80"/>
              <w:right w:type="dxa" w:w="110"/>
            </w:tcMar>
          </w:tcPr>
          <w:p>
            <w:pPr>
              <w:spacing w:after="0"/>
            </w:pPr>
            <w:r>
              <w:rPr>
                <w:sz w:val="17"/>
                <w:szCs w:val="17"/>
              </w:rPr>
              <w:t xml:space="preserve">21 CFR 11.10(b)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URS-18</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content fingerprint is deterministic: the same projected content always produces the same fingerprint, and any change of content changes it.</w:t>
            </w:r>
          </w:p>
        </w:tc>
        <w:tc>
          <w:tcPr>
            <w:tcW w:type="pct" w:w="28%"/>
            <w:tcMar>
              <w:top w:type="dxa" w:w="80"/>
              <w:left w:type="dxa" w:w="110"/>
              <w:bottom w:type="dxa" w:w="80"/>
              <w:right w:type="dxa" w:w="110"/>
            </w:tcMar>
          </w:tcPr>
          <w:p>
            <w:pPr>
              <w:spacing w:after="0"/>
            </w:pPr>
            <w:r>
              <w:rPr>
                <w:sz w:val="17"/>
                <w:szCs w:val="17"/>
              </w:rPr>
              <w:t xml:space="preserve">An unstable fingerprint would produce false release refusals; an insensitive one would let a real drift through.</w:t>
            </w:r>
          </w:p>
        </w:tc>
        <w:tc>
          <w:tcPr>
            <w:tcW w:type="pct" w:w="20%"/>
            <w:tcMar>
              <w:top w:type="dxa" w:w="80"/>
              <w:left w:type="dxa" w:w="110"/>
              <w:bottom w:type="dxa" w:w="80"/>
              <w:right w:type="dxa" w:w="110"/>
            </w:tcMar>
          </w:tcPr>
          <w:p>
            <w:pPr>
              <w:spacing w:after="0"/>
            </w:pPr>
            <w:r>
              <w:rPr>
                <w:sz w:val="17"/>
                <w:szCs w:val="17"/>
              </w:rPr>
              <w:t xml:space="preserve">21 CFR 11.10(a) · 21 CFR 11.70</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URS-19</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Two people editing the same item at once do not silently overwrite each other: the second write is refused and the input preserved.</w:t>
            </w:r>
          </w:p>
        </w:tc>
        <w:tc>
          <w:tcPr>
            <w:tcW w:type="pct" w:w="28%"/>
            <w:tcMar>
              <w:top w:type="dxa" w:w="80"/>
              <w:left w:type="dxa" w:w="110"/>
              <w:bottom w:type="dxa" w:w="80"/>
              <w:right w:type="dxa" w:w="110"/>
            </w:tcMar>
          </w:tcPr>
          <w:p>
            <w:pPr>
              <w:spacing w:after="0"/>
            </w:pPr>
            <w:r>
              <w:rPr>
                <w:sz w:val="17"/>
                <w:szCs w:val="17"/>
              </w:rPr>
              <w:t xml:space="preserve">A silent loss of work makes a design decision disappear without leaving a trace.</w:t>
            </w:r>
          </w:p>
        </w:tc>
        <w:tc>
          <w:tcPr>
            <w:tcW w:type="pct" w:w="20%"/>
            <w:tcMar>
              <w:top w:type="dxa" w:w="80"/>
              <w:left w:type="dxa" w:w="110"/>
              <w:bottom w:type="dxa" w:w="80"/>
              <w:right w:type="dxa" w:w="110"/>
            </w:tcMar>
          </w:tcPr>
          <w:p>
            <w:pPr>
              <w:spacing w:after="0"/>
            </w:pPr>
            <w:r>
              <w:rPr>
                <w:sz w:val="17"/>
                <w:szCs w:val="17"/>
              </w:rPr>
              <w:t xml:space="preserve">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URS-20</w:t>
            </w:r>
          </w:p>
          <w:p>
            <w:pPr>
              <w:spacing w:after="0"/>
            </w:pPr>
            <w:r>
              <w:rPr>
                <w:b/>
                <w:bCs/>
                <w:color w:val="475569"/>
                <w:sz w:val="15"/>
                <w:szCs w:val="15"/>
              </w:rPr>
              <w:t xml:space="preserve">Low</w:t>
            </w:r>
          </w:p>
        </w:tc>
        <w:tc>
          <w:tcPr>
            <w:tcW w:type="pct" w:w="41%"/>
            <w:tcMar>
              <w:top w:type="dxa" w:w="80"/>
              <w:left w:type="dxa" w:w="110"/>
              <w:bottom w:type="dxa" w:w="80"/>
              <w:right w:type="dxa" w:w="110"/>
            </w:tcMar>
          </w:tcPr>
          <w:p>
            <w:pPr>
              <w:spacing w:after="0"/>
            </w:pPr>
            <w:r>
              <w:rPr>
                <w:sz w:val="17"/>
                <w:szCs w:val="17"/>
              </w:rPr>
              <w:t xml:space="preserve">The software identifies its own version in the interface, so that a record can be tied to the version that produced it.</w:t>
            </w:r>
          </w:p>
        </w:tc>
        <w:tc>
          <w:tcPr>
            <w:tcW w:type="pct" w:w="28%"/>
            <w:tcMar>
              <w:top w:type="dxa" w:w="80"/>
              <w:left w:type="dxa" w:w="110"/>
              <w:bottom w:type="dxa" w:w="80"/>
              <w:right w:type="dxa" w:w="110"/>
            </w:tcMar>
          </w:tcPr>
          <w:p>
            <w:pPr>
              <w:spacing w:after="0"/>
            </w:pPr>
            <w:r>
              <w:rPr>
                <w:sz w:val="17"/>
                <w:szCs w:val="17"/>
              </w:rPr>
              <w:t xml:space="preserve">Without version identification, revalidation after an upgrade cannot be bounded.</w:t>
            </w:r>
          </w:p>
        </w:tc>
        <w:tc>
          <w:tcPr>
            <w:tcW w:type="pct" w:w="20%"/>
            <w:tcMar>
              <w:top w:type="dxa" w:w="80"/>
              <w:left w:type="dxa" w:w="110"/>
              <w:bottom w:type="dxa" w:w="80"/>
              <w:right w:type="dxa" w:w="110"/>
            </w:tcMar>
          </w:tcPr>
          <w:p>
            <w:pPr>
              <w:spacing w:after="0"/>
            </w:pPr>
            <w:r>
              <w:rPr>
                <w:sz w:val="17"/>
                <w:szCs w:val="17"/>
              </w:rPr>
              <w:t xml:space="preserve">ISO 13485 §4.1.6 · GAMP 5 §M4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URS-21</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system produces an inspection archive readable outside itself: the exact bytes of every frozen record, a manifest, and fingerprints verifiable with a standard tool. A record altered on disk is flagged there, never presented as intact.</w:t>
            </w:r>
          </w:p>
        </w:tc>
        <w:tc>
          <w:tcPr>
            <w:tcW w:type="pct" w:w="28%"/>
            <w:tcMar>
              <w:top w:type="dxa" w:w="80"/>
              <w:left w:type="dxa" w:w="110"/>
              <w:bottom w:type="dxa" w:w="80"/>
              <w:right w:type="dxa" w:w="110"/>
            </w:tcMar>
          </w:tcPr>
          <w:p>
            <w:pPr>
              <w:spacing w:after="0"/>
            </w:pPr>
            <w:r>
              <w:rPr>
                <w:sz w:val="17"/>
                <w:szCs w:val="17"/>
              </w:rPr>
              <w:t xml:space="preserve">The regulatory retention period outlives any software installation: a retrieval that depended on the product would not hold for ten years. An archive that hid an alteration would be worse than no archive.</w:t>
            </w:r>
          </w:p>
        </w:tc>
        <w:tc>
          <w:tcPr>
            <w:tcW w:type="pct" w:w="20%"/>
            <w:tcMar>
              <w:top w:type="dxa" w:w="80"/>
              <w:left w:type="dxa" w:w="110"/>
              <w:bottom w:type="dxa" w:w="80"/>
              <w:right w:type="dxa" w:w="110"/>
            </w:tcMar>
          </w:tcPr>
          <w:p>
            <w:pPr>
              <w:spacing w:after="0"/>
            </w:pPr>
            <w:r>
              <w:rPr>
                <w:sz w:val="17"/>
                <w:szCs w:val="17"/>
              </w:rPr>
              <w:t xml:space="preserve">21 CFR 11.10(b) · 21 CFR 11.10(c)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URS-22</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A legal hold suspends every deletion, including those an administrator can otherwise perform. Placing and lifting it each require a written reason and are logged.</w:t>
            </w:r>
          </w:p>
        </w:tc>
        <w:tc>
          <w:tcPr>
            <w:tcW w:type="pct" w:w="28%"/>
            <w:tcMar>
              <w:top w:type="dxa" w:w="80"/>
              <w:left w:type="dxa" w:w="110"/>
              <w:bottom w:type="dxa" w:w="80"/>
              <w:right w:type="dxa" w:w="110"/>
            </w:tcMar>
          </w:tcPr>
          <w:p>
            <w:pPr>
              <w:spacing w:after="0"/>
            </w:pPr>
            <w:r>
              <w:rPr>
                <w:sz w:val="17"/>
                <w:szCs w:val="17"/>
              </w:rPr>
              <w:t xml:space="preserve">A deletion carried out during an investigation or a dispute constitutes destruction of evidence, whatever the intent.</w:t>
            </w:r>
          </w:p>
        </w:tc>
        <w:tc>
          <w:tcPr>
            <w:tcW w:type="pct" w:w="20%"/>
            <w:tcMar>
              <w:top w:type="dxa" w:w="80"/>
              <w:left w:type="dxa" w:w="110"/>
              <w:bottom w:type="dxa" w:w="80"/>
              <w:right w:type="dxa" w:w="110"/>
            </w:tcMar>
          </w:tcPr>
          <w:p>
            <w:pPr>
              <w:spacing w:after="0"/>
            </w:pPr>
            <w:r>
              <w:rPr>
                <w:sz w:val="17"/>
                <w:szCs w:val="17"/>
              </w:rPr>
              <w:t xml:space="preserve">21 CFR 11.10(c)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URS-23</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declared retention period is carried onto every archived record as a due date. As long as no period is declared, the archive says so explicitly instead of showing a default value.</w:t>
            </w:r>
          </w:p>
        </w:tc>
        <w:tc>
          <w:tcPr>
            <w:tcW w:type="pct" w:w="28%"/>
            <w:tcMar>
              <w:top w:type="dxa" w:w="80"/>
              <w:left w:type="dxa" w:w="110"/>
              <w:bottom w:type="dxa" w:w="80"/>
              <w:right w:type="dxa" w:w="110"/>
            </w:tcMar>
          </w:tcPr>
          <w:p>
            <w:pPr>
              <w:spacing w:after="0"/>
            </w:pPr>
            <w:r>
              <w:rPr>
                <w:sz w:val="17"/>
                <w:szCs w:val="17"/>
              </w:rPr>
              <w:t xml:space="preserve">A default period invented by the software would be read as a decision of the organisation and could contradict its actual procedure.</w:t>
            </w:r>
          </w:p>
        </w:tc>
        <w:tc>
          <w:tcPr>
            <w:tcW w:type="pct" w:w="20%"/>
            <w:tcMar>
              <w:top w:type="dxa" w:w="80"/>
              <w:left w:type="dxa" w:w="110"/>
              <w:bottom w:type="dxa" w:w="80"/>
              <w:right w:type="dxa" w:w="110"/>
            </w:tcMar>
          </w:tcPr>
          <w:p>
            <w:pPr>
              <w:spacing w:after="0"/>
            </w:pPr>
            <w:r>
              <w:rPr>
                <w:sz w:val="17"/>
                <w:szCs w:val="17"/>
              </w:rPr>
              <w:t xml:space="preserve">21 CFR 11.10(c)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URS-24</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link between a signature and the record it attests survives the opening of subsequent revisions: the approval of a released revision keeps its signer, its timestamp, the signed snapshot and the fingerprint of the attested content.</w:t>
            </w:r>
          </w:p>
        </w:tc>
        <w:tc>
          <w:tcPr>
            <w:tcW w:type="pct" w:w="28%"/>
            <w:tcMar>
              <w:top w:type="dxa" w:w="80"/>
              <w:left w:type="dxa" w:w="110"/>
              <w:bottom w:type="dxa" w:w="80"/>
              <w:right w:type="dxa" w:w="110"/>
            </w:tcMar>
          </w:tcPr>
          <w:p>
            <w:pPr>
              <w:spacing w:after="0"/>
            </w:pPr>
            <w:r>
              <w:rPr>
                <w:sz w:val="17"/>
                <w:szCs w:val="17"/>
              </w:rPr>
              <w:t xml:space="preserve">An approved record kept without the signature attesting it no longer proves anything, and it is the first finding raised when walking back the history of a revised document.</w:t>
            </w:r>
          </w:p>
        </w:tc>
        <w:tc>
          <w:tcPr>
            <w:tcW w:type="pct" w:w="20%"/>
            <w:tcMar>
              <w:top w:type="dxa" w:w="80"/>
              <w:left w:type="dxa" w:w="110"/>
              <w:bottom w:type="dxa" w:w="80"/>
              <w:right w:type="dxa" w:w="110"/>
            </w:tcMar>
          </w:tcPr>
          <w:p>
            <w:pPr>
              <w:spacing w:after="0"/>
            </w:pPr>
            <w:r>
              <w:rPr>
                <w:sz w:val="17"/>
                <w:szCs w:val="17"/>
              </w:rPr>
              <w:t xml:space="preserve">21 CFR 11.70 · 21 CFR 11.10(c) · ISO 13485 §4.2.4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URS-25</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system obtains from a third-party authority an RFC 3161 timestamp token on the archive anchor, checks that the token attests that very fingerprint and nonce, and keeps it as is for verification outside the software. The authority being unavailable never blocks extraction.</w:t>
            </w:r>
          </w:p>
        </w:tc>
        <w:tc>
          <w:tcPr>
            <w:tcW w:type="pct" w:w="28%"/>
            <w:tcMar>
              <w:top w:type="dxa" w:w="80"/>
              <w:left w:type="dxa" w:w="110"/>
              <w:bottom w:type="dxa" w:w="80"/>
              <w:right w:type="dxa" w:w="110"/>
            </w:tcMar>
          </w:tcPr>
          <w:p>
            <w:pPr>
              <w:spacing w:after="0"/>
            </w:pPr>
            <w:r>
              <w:rPr>
                <w:sz w:val="17"/>
                <w:szCs w:val="17"/>
              </w:rPr>
              <w:t xml:space="preserve">A fingerprint does not establish that content existed at a given date: without third-party timestamping, a record's precedence rests on the organisation's word alone. Conversely, a token accepted without checking the attested fingerprint would give false assurance.</w:t>
            </w:r>
          </w:p>
        </w:tc>
        <w:tc>
          <w:tcPr>
            <w:tcW w:type="pct" w:w="20%"/>
            <w:tcMar>
              <w:top w:type="dxa" w:w="80"/>
              <w:left w:type="dxa" w:w="110"/>
              <w:bottom w:type="dxa" w:w="80"/>
              <w:right w:type="dxa" w:w="110"/>
            </w:tcMar>
          </w:tcPr>
          <w:p>
            <w:pPr>
              <w:spacing w:after="0"/>
            </w:pPr>
            <w:r>
              <w:rPr>
                <w:sz w:val="17"/>
                <w:szCs w:val="17"/>
              </w:rPr>
              <w:t xml:space="preserve">21 CFR 11.10(c) · eIDAS art. 41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URS-26</w:t>
            </w:r>
          </w:p>
          <w:p>
            <w:pPr>
              <w:spacing w:after="0"/>
            </w:pPr>
            <w:r>
              <w:rPr>
                <w:b/>
                <w:bCs/>
                <w:color w:val="475569"/>
                <w:sz w:val="15"/>
                <w:szCs w:val="15"/>
              </w:rPr>
              <w:t xml:space="preserve">Low</w:t>
            </w:r>
          </w:p>
        </w:tc>
        <w:tc>
          <w:tcPr>
            <w:tcW w:type="pct" w:w="41%"/>
            <w:tcMar>
              <w:top w:type="dxa" w:w="80"/>
              <w:left w:type="dxa" w:w="110"/>
              <w:bottom w:type="dxa" w:w="80"/>
              <w:right w:type="dxa" w:w="110"/>
            </w:tcMar>
          </w:tcPr>
          <w:p>
            <w:pPr>
              <w:spacing w:after="0"/>
            </w:pPr>
            <w:r>
              <w:rPr>
                <w:sz w:val="17"/>
                <w:szCs w:val="17"/>
              </w:rPr>
              <w:t xml:space="preserve">The database reset procedure handles every model of the schema: no added model can be forgotten without the qualification reporting it.</w:t>
            </w:r>
          </w:p>
        </w:tc>
        <w:tc>
          <w:tcPr>
            <w:tcW w:type="pct" w:w="28%"/>
            <w:tcMar>
              <w:top w:type="dxa" w:w="80"/>
              <w:left w:type="dxa" w:w="110"/>
              <w:bottom w:type="dxa" w:w="80"/>
              <w:right w:type="dxa" w:w="110"/>
            </w:tcMar>
          </w:tcPr>
          <w:p>
            <w:pPr>
              <w:spacing w:after="0"/>
            </w:pPr>
            <w:r>
              <w:rPr>
                <w:sz w:val="17"/>
                <w:szCs w:val="17"/>
              </w:rPr>
              <w:t xml:space="preserve">An incomplete reset fails part-way on a foreign key and leaves the database half-emptied. The effect is limited to development and demonstration environments — no installation in service runs it — but the defect went unnoticed three times.</w:t>
            </w:r>
          </w:p>
        </w:tc>
        <w:tc>
          <w:tcPr>
            <w:tcW w:type="pct" w:w="20%"/>
            <w:tcMar>
              <w:top w:type="dxa" w:w="80"/>
              <w:left w:type="dxa" w:w="110"/>
              <w:bottom w:type="dxa" w:w="80"/>
              <w:right w:type="dxa" w:w="110"/>
            </w:tcMar>
          </w:tcPr>
          <w:p>
            <w:pPr>
              <w:spacing w:after="0"/>
            </w:pPr>
            <w:r>
              <w:rPr>
                <w:sz w:val="17"/>
                <w:szCs w:val="17"/>
              </w:rPr>
              <w:t xml:space="preserve">ISO 13485 §4.1.6</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URS-27</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Every audit-trail entry carries the fingerprint of the previous one. Any modification or deletion performed directly in the database, outside the application, is detected at verification, which names the rank where the chain breaks.</w:t>
            </w:r>
          </w:p>
        </w:tc>
        <w:tc>
          <w:tcPr>
            <w:tcW w:type="pct" w:w="28%"/>
            <w:tcMar>
              <w:top w:type="dxa" w:w="80"/>
              <w:left w:type="dxa" w:w="110"/>
              <w:bottom w:type="dxa" w:w="80"/>
              <w:right w:type="dxa" w:w="110"/>
            </w:tcMar>
          </w:tcPr>
          <w:p>
            <w:pPr>
              <w:spacing w:after="0"/>
            </w:pPr>
            <w:r>
              <w:rPr>
                <w:sz w:val="17"/>
                <w:szCs w:val="17"/>
              </w:rPr>
              <w:t xml:space="preserve">The audit trail is the record on which all the others rest. A silently rewritable trail proves nothing: it gives false assurance, which is worse than having no trail.</w:t>
            </w:r>
          </w:p>
        </w:tc>
        <w:tc>
          <w:tcPr>
            <w:tcW w:type="pct" w:w="20%"/>
            <w:tcMar>
              <w:top w:type="dxa" w:w="80"/>
              <w:left w:type="dxa" w:w="110"/>
              <w:bottom w:type="dxa" w:w="80"/>
              <w:right w:type="dxa" w:w="110"/>
            </w:tcMar>
          </w:tcPr>
          <w:p>
            <w:pPr>
              <w:spacing w:after="0"/>
            </w:pPr>
            <w:r>
              <w:rPr>
                <w:sz w:val="17"/>
                <w:szCs w:val="17"/>
              </w:rPr>
              <w:t xml:space="preserve">21 CFR 11.10(a)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URS-28</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Every write to the trail passes through a single chokepoint that computes the chain. The privileged server-console tools, which cannot load the application code, use a mirror implementation whose equivalence is proven.</w:t>
            </w:r>
          </w:p>
        </w:tc>
        <w:tc>
          <w:tcPr>
            <w:tcW w:type="pct" w:w="28%"/>
            <w:tcMar>
              <w:top w:type="dxa" w:w="80"/>
              <w:left w:type="dxa" w:w="110"/>
              <w:bottom w:type="dxa" w:w="80"/>
              <w:right w:type="dxa" w:w="110"/>
            </w:tcMar>
          </w:tcPr>
          <w:p>
            <w:pPr>
              <w:spacing w:after="0"/>
            </w:pPr>
            <w:r>
              <w:rPr>
                <w:sz w:val="17"/>
                <w:szCs w:val="17"/>
              </w:rPr>
              <w:t xml:space="preserve">A write bypassing the chaining would produce an entry with no fingerprint, hence a break indistinguishable from a real alteration — and the alarm would end up being ignored.</w:t>
            </w:r>
          </w:p>
        </w:tc>
        <w:tc>
          <w:tcPr>
            <w:tcW w:type="pct" w:w="20%"/>
            <w:tcMar>
              <w:top w:type="dxa" w:w="80"/>
              <w:left w:type="dxa" w:w="110"/>
              <w:bottom w:type="dxa" w:w="80"/>
              <w:right w:type="dxa" w:w="110"/>
            </w:tcMar>
          </w:tcPr>
          <w:p>
            <w:pPr>
              <w:spacing w:after="0"/>
            </w:pPr>
            <w:r>
              <w:rPr>
                <w:sz w:val="17"/>
                <w:szCs w:val="17"/>
              </w:rPr>
              <w:t xml:space="preserve">21 CFR 11.10(a)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URS-29</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date of the last password change is recorded on every write, at a personal change as at the redemption of a reset token, and the age of every password can be consulted — which makes the periodic check of identification codes possible even with no enforced expiry.</w:t>
            </w:r>
          </w:p>
        </w:tc>
        <w:tc>
          <w:tcPr>
            <w:tcW w:type="pct" w:w="28%"/>
            <w:tcMar>
              <w:top w:type="dxa" w:w="80"/>
              <w:left w:type="dxa" w:w="110"/>
              <w:bottom w:type="dxa" w:w="80"/>
              <w:right w:type="dxa" w:w="110"/>
            </w:tcMar>
          </w:tcPr>
          <w:p>
            <w:pPr>
              <w:spacing w:after="0"/>
            </w:pPr>
            <w:r>
              <w:rPr>
                <w:sz w:val="17"/>
                <w:szCs w:val="17"/>
              </w:rPr>
              <w:t xml:space="preserve">Without a change date no periodic review of identification codes is possible: the clause asks first to check, and one does not check what one does not measure.</w:t>
            </w:r>
          </w:p>
        </w:tc>
        <w:tc>
          <w:tcPr>
            <w:tcW w:type="pct" w:w="20%"/>
            <w:tcMar>
              <w:top w:type="dxa" w:w="80"/>
              <w:left w:type="dxa" w:w="110"/>
              <w:bottom w:type="dxa" w:w="80"/>
              <w:right w:type="dxa" w:w="110"/>
            </w:tcMar>
          </w:tcPr>
          <w:p>
            <w:pPr>
              <w:spacing w:after="0"/>
            </w:pPr>
            <w:r>
              <w:rPr>
                <w:sz w:val="17"/>
                <w:szCs w:val="17"/>
              </w:rPr>
              <w:t xml:space="preserve">21 CFR 11.300(b)</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URS-30</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administrator account created when an installation is bootstrapped must renew its password at first sign-in. When an expiry period is declared, exceeding it likewise requires renewal, and no page and no download route is reachable before it has happened.</w:t>
            </w:r>
          </w:p>
        </w:tc>
        <w:tc>
          <w:tcPr>
            <w:tcW w:type="pct" w:w="28%"/>
            <w:tcMar>
              <w:top w:type="dxa" w:w="80"/>
              <w:left w:type="dxa" w:w="110"/>
              <w:bottom w:type="dxa" w:w="80"/>
              <w:right w:type="dxa" w:w="110"/>
            </w:tcMar>
          </w:tcPr>
          <w:p>
            <w:pPr>
              <w:spacing w:after="0"/>
            </w:pPr>
            <w:r>
              <w:rPr>
                <w:sz w:val="17"/>
                <w:szCs w:val="17"/>
              </w:rPr>
              <w:t xml:space="preserve">The bootstrap password comes from the compose file: it is not a secret, and a signature depending on it would be attributable to nobody. A renewal circumventable through an export route would not be a renewal.</w:t>
            </w:r>
          </w:p>
        </w:tc>
        <w:tc>
          <w:tcPr>
            <w:tcW w:type="pct" w:w="20%"/>
            <w:tcMar>
              <w:top w:type="dxa" w:w="80"/>
              <w:left w:type="dxa" w:w="110"/>
              <w:bottom w:type="dxa" w:w="80"/>
              <w:right w:type="dxa" w:w="110"/>
            </w:tcMar>
          </w:tcPr>
          <w:p>
            <w:pPr>
              <w:spacing w:after="0"/>
            </w:pPr>
            <w:r>
              <w:rPr>
                <w:sz w:val="17"/>
                <w:szCs w:val="17"/>
              </w:rPr>
              <w:t xml:space="preserve">21 CFR 11.300(b) · 21 CFR 11.200(a)(1)</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URS-31</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No function of the software allows anyone to set another person's password. An administrator issues a single-use token, valid for a bounded period, stored hashed; its holder redeems it and chooses their own password. A token already redeemed, expired, revoked or issued for another account is refused.</w:t>
            </w:r>
          </w:p>
        </w:tc>
        <w:tc>
          <w:tcPr>
            <w:tcW w:type="pct" w:w="28%"/>
            <w:tcMar>
              <w:top w:type="dxa" w:w="80"/>
              <w:left w:type="dxa" w:w="110"/>
              <w:bottom w:type="dxa" w:w="80"/>
              <w:right w:type="dxa" w:w="110"/>
            </w:tcMar>
          </w:tcPr>
          <w:p>
            <w:pPr>
              <w:spacing w:after="0"/>
            </w:pPr>
            <w:r>
              <w:rPr>
                <w:sz w:val="17"/>
                <w:szCs w:val="17"/>
              </w:rPr>
              <w:t xml:space="preserve">A non-biometric electronic signature rests on a public identifier and a password. Whoever types another person's password holds both components and can sign in their place without collaborating with anybody — precisely what clause 11.200(a)(3) forbids.</w:t>
            </w:r>
          </w:p>
        </w:tc>
        <w:tc>
          <w:tcPr>
            <w:tcW w:type="pct" w:w="20%"/>
            <w:tcMar>
              <w:top w:type="dxa" w:w="80"/>
              <w:left w:type="dxa" w:w="110"/>
              <w:bottom w:type="dxa" w:w="80"/>
              <w:right w:type="dxa" w:w="110"/>
            </w:tcMar>
          </w:tcPr>
          <w:p>
            <w:pPr>
              <w:spacing w:after="0"/>
            </w:pPr>
            <w:r>
              <w:rPr>
                <w:sz w:val="17"/>
                <w:szCs w:val="17"/>
              </w:rPr>
              <w:t xml:space="preserve">21 CFR 11.200(a)(3) · 21 CFR 11.300(a)</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URS-32</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delivered image starts and bootstraps a usable installation: migrations apply, the organisation, the programme, the administrator account and the standards library are created, the audit-trail chain is intact, the version announced is that of the software, and no data is served without a session.</w:t>
            </w:r>
          </w:p>
        </w:tc>
        <w:tc>
          <w:tcPr>
            <w:tcW w:type="pct" w:w="28%"/>
            <w:tcMar>
              <w:top w:type="dxa" w:w="80"/>
              <w:left w:type="dxa" w:w="110"/>
              <w:bottom w:type="dxa" w:w="80"/>
              <w:right w:type="dxa" w:w="110"/>
            </w:tcMar>
          </w:tcPr>
          <w:p>
            <w:pPr>
              <w:spacing w:after="0"/>
            </w:pPr>
            <w:r>
              <w:rPr>
                <w:sz w:val="17"/>
                <w:szCs w:val="17"/>
              </w:rPr>
              <w:t xml:space="preserve">It is the image that is delivered, not the source code. Everything the other cases verify runs OUTSIDE the container: neither type-checking, nor the application build, nor the qualification cases see what the image actually contains. That blind spot produced an image that could not start at all — the customer would have discovered it at step IQ-04, in front of their IT provider — and a container announcing a version that was not its own.</w:t>
            </w:r>
          </w:p>
        </w:tc>
        <w:tc>
          <w:tcPr>
            <w:tcW w:type="pct" w:w="20%"/>
            <w:tcMar>
              <w:top w:type="dxa" w:w="80"/>
              <w:left w:type="dxa" w:w="110"/>
              <w:bottom w:type="dxa" w:w="80"/>
              <w:right w:type="dxa" w:w="110"/>
            </w:tcMar>
          </w:tcPr>
          <w:p>
            <w:pPr>
              <w:spacing w:after="0"/>
            </w:pPr>
            <w:r>
              <w:rPr>
                <w:sz w:val="17"/>
                <w:szCs w:val="17"/>
              </w:rPr>
              <w:t xml:space="preserve">21 CFR 11.10(a) · 21 CFR 11.10(d)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URS-33</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audit trail reads in the reader's language. Every entry written by the application carries its message key and arguments; the text is rendered at read time, on screen, in the CSV export and in the inspection archive. Enumeration values follow the language, entered data stays intact, the key and arguments enter the entry's fingerprint, and earlier entries remain readable with verifiable fingerprints.</w:t>
            </w:r>
          </w:p>
        </w:tc>
        <w:tc>
          <w:tcPr>
            <w:tcW w:type="pct" w:w="28%"/>
            <w:tcMar>
              <w:top w:type="dxa" w:w="80"/>
              <w:left w:type="dxa" w:w="110"/>
              <w:bottom w:type="dxa" w:w="80"/>
              <w:right w:type="dxa" w:w="110"/>
            </w:tcMar>
          </w:tcPr>
          <w:p>
            <w:pPr>
              <w:spacing w:after="0"/>
            </w:pPr>
            <w:r>
              <w:rPr>
                <w:sz w:val="17"/>
                <w:szCs w:val="17"/>
              </w:rPr>
              <w:t xml:space="preserve">The audit trail is the record an auditor reads first. An English-speaking team consulted it in French: they could neither read it back, nor produce it to their inspector, nor review it periodically as the draft Annex 11 expects. The risk is not data loss but the illegibility of a regulatory record — and, had the translation happened outside the fingerprint, the possibility of a falsified English version that the chain would declare intact.</w:t>
            </w:r>
          </w:p>
        </w:tc>
        <w:tc>
          <w:tcPr>
            <w:tcW w:type="pct" w:w="20%"/>
            <w:tcMar>
              <w:top w:type="dxa" w:w="80"/>
              <w:left w:type="dxa" w:w="110"/>
              <w:bottom w:type="dxa" w:w="80"/>
              <w:right w:type="dxa" w:w="110"/>
            </w:tcMar>
          </w:tcPr>
          <w:p>
            <w:pPr>
              <w:spacing w:after="0"/>
            </w:pPr>
            <w:r>
              <w:rPr>
                <w:sz w:val="17"/>
                <w:szCs w:val="17"/>
              </w:rPr>
              <w:t xml:space="preserve">21 CFR 11.10(b) · 21 CFR 11.10(e)</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URS-34</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Every frozen record carries, inside the inspection archive, an archival copy in PDF/A-2b format: embedded font, embedded colour profile, metadata declaring the conformance part and level, file identifier, no encryption and no script. The copy carries the content and file digests, states that it is not the record, and its text maps back to characters through its own mapping table.</w:t>
            </w:r>
          </w:p>
        </w:tc>
        <w:tc>
          <w:tcPr>
            <w:tcW w:type="pct" w:w="28%"/>
            <w:tcMar>
              <w:top w:type="dxa" w:w="80"/>
              <w:left w:type="dxa" w:w="110"/>
              <w:bottom w:type="dxa" w:w="80"/>
              <w:right w:type="dxa" w:w="110"/>
            </w:tcMar>
          </w:tcPr>
          <w:p>
            <w:pPr>
              <w:spacing w:after="0"/>
            </w:pPr>
            <w:r>
              <w:rPr>
                <w:sz w:val="17"/>
                <w:szCs w:val="17"/>
              </w:rPr>
              <w:t xml:space="preserve">The authoritative record is a .docx, and its readability in ten years depends on office software whose existence is not guaranteed. The risk is not data loss — the bytes are retained and their digest is signed — but the inability to READ it at inspection time. A copy claiming to be the record would be worse than no copy: the signature covers the digest of the frozen content, and confusing the two would break the chain of evidence.</w:t>
            </w:r>
          </w:p>
        </w:tc>
        <w:tc>
          <w:tcPr>
            <w:tcW w:type="pct" w:w="20%"/>
            <w:tcMar>
              <w:top w:type="dxa" w:w="80"/>
              <w:left w:type="dxa" w:w="110"/>
              <w:bottom w:type="dxa" w:w="80"/>
              <w:right w:type="dxa" w:w="110"/>
            </w:tcMar>
          </w:tcPr>
          <w:p>
            <w:pPr>
              <w:spacing w:after="0"/>
            </w:pPr>
            <w:r>
              <w:rPr>
                <w:sz w:val="17"/>
                <w:szCs w:val="17"/>
              </w:rPr>
              <w:t xml:space="preserve">21 CFR 11.10(b) · 21 CFR 11.10(c)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URS-35</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Periodic reviews of the audit trail cover contiguous RANK ranges: a review starts exactly at the rank following the last closed review, its window is frozen at opening, and the software refuses to open a second review while another is in progress. Any coverage gap is computed and reported.</w:t>
            </w:r>
          </w:p>
        </w:tc>
        <w:tc>
          <w:tcPr>
            <w:tcW w:type="pct" w:w="28%"/>
            <w:tcMar>
              <w:top w:type="dxa" w:w="80"/>
              <w:left w:type="dxa" w:w="110"/>
              <w:bottom w:type="dxa" w:w="80"/>
              <w:right w:type="dxa" w:w="110"/>
            </w:tcMar>
          </w:tcPr>
          <w:p>
            <w:pPr>
              <w:spacing w:after="0"/>
            </w:pPr>
            <w:r>
              <w:rPr>
                <w:sz w:val="17"/>
                <w:szCs w:val="17"/>
              </w:rPr>
              <w:t xml:space="preserve">A review bounded by dates lets through whatever is written while it is being closed: the next review starting the following day, those entries will be read by nobody, and nothing will report it. That is the defect which empties the review of its value while still producing a signed record — hence the most expensive false assurance. Two concurrent reviews would produce the same effect at the other end.</w:t>
            </w:r>
          </w:p>
        </w:tc>
        <w:tc>
          <w:tcPr>
            <w:tcW w:type="pct" w:w="20%"/>
            <w:tcMar>
              <w:top w:type="dxa" w:w="80"/>
              <w:left w:type="dxa" w:w="110"/>
              <w:bottom w:type="dxa" w:w="80"/>
              <w:right w:type="dxa" w:w="110"/>
            </w:tcMar>
          </w:tcPr>
          <w:p>
            <w:pPr>
              <w:spacing w:after="0"/>
            </w:pPr>
            <w:r>
              <w:rPr>
                <w:sz w:val="17"/>
                <w:szCs w:val="17"/>
              </w:rPr>
              <w:t xml:space="preserve">21 CFR 11.10(e) · Annexe 11 (projet) — Piste d'audit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URS-36</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Closing a review is an electronic signature: it requires the password to be re-entered, carries the printed name, the meaning “Reviewed” and the timestamp, and copies the digest of the CONTENT reviewed — window, counts, rules applied, verdicts and conclusion. It is refused while any selected entry is undecided, while the conclusion is empty, and a closed review does not reopen.</w:t>
            </w:r>
          </w:p>
        </w:tc>
        <w:tc>
          <w:tcPr>
            <w:tcW w:type="pct" w:w="28%"/>
            <w:tcMar>
              <w:top w:type="dxa" w:w="80"/>
              <w:left w:type="dxa" w:w="110"/>
              <w:bottom w:type="dxa" w:w="80"/>
              <w:right w:type="dxa" w:w="110"/>
            </w:tcMar>
          </w:tcPr>
          <w:p>
            <w:pPr>
              <w:spacing w:after="0"/>
            </w:pPr>
            <w:r>
              <w:rPr>
                <w:sz w:val="17"/>
                <w:szCs w:val="17"/>
              </w:rPr>
              <w:t xml:space="preserve">A review signed without a digest of the reviewed content attests to a date, not to work: “reviewed on 6 August” does not say WHAT was reviewed, and the content could change afterwards without the signature suffering. A closure allowed on undecided lines would let someone sign work not done — the exact opposite of what the review proves.</w:t>
            </w:r>
          </w:p>
        </w:tc>
        <w:tc>
          <w:tcPr>
            <w:tcW w:type="pct" w:w="20%"/>
            <w:tcMar>
              <w:top w:type="dxa" w:w="80"/>
              <w:left w:type="dxa" w:w="110"/>
              <w:bottom w:type="dxa" w:w="80"/>
              <w:right w:type="dxa" w:w="110"/>
            </w:tcMar>
          </w:tcPr>
          <w:p>
            <w:pPr>
              <w:spacing w:after="0"/>
            </w:pPr>
            <w:r>
              <w:rPr>
                <w:sz w:val="17"/>
                <w:szCs w:val="17"/>
              </w:rPr>
              <w:t xml:space="preserve">21 CFR 11.50 · 21 CFR 11.70 · 21 CFR 11.200(a)(1) · Annexe 11 (projet) — Piste d'audit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URS-37</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Statement quality checks are DETERMINISTIC and free of side effects: they run without an API key and without network access, return the same result for the same statement, quote the offending fragment exactly as written, never write into the record and never prevent saving it.</w:t>
            </w:r>
          </w:p>
        </w:tc>
        <w:tc>
          <w:tcPr>
            <w:tcW w:type="pct" w:w="28%"/>
            <w:tcMar>
              <w:top w:type="dxa" w:w="80"/>
              <w:left w:type="dxa" w:w="110"/>
              <w:bottom w:type="dxa" w:w="80"/>
              <w:right w:type="dxa" w:w="110"/>
            </w:tcMar>
          </w:tcPr>
          <w:p>
            <w:pPr>
              <w:spacing w:after="0"/>
            </w:pPr>
            <w:r>
              <w:rPr>
                <w:sz w:val="17"/>
                <w:szCs w:val="17"/>
              </w:rPr>
              <w:t xml:space="preserve">A check that rewrote the statement would change the author of a record without anyone deciding it — ALCOA+ attribution would collapse. A check that blocked saving would be circumvented by removing the trigger word, and would become decoration giving an illusion of control. A check depending on a language model would not return the same verdict twice and could not be qualified.</w:t>
            </w:r>
          </w:p>
        </w:tc>
        <w:tc>
          <w:tcPr>
            <w:tcW w:type="pct" w:w="20%"/>
            <w:tcMar>
              <w:top w:type="dxa" w:w="80"/>
              <w:left w:type="dxa" w:w="110"/>
              <w:bottom w:type="dxa" w:w="80"/>
              <w:right w:type="dxa" w:w="110"/>
            </w:tcMar>
          </w:tcPr>
          <w:p>
            <w:pPr>
              <w:spacing w:after="0"/>
            </w:pPr>
            <w:r>
              <w:rPr>
                <w:sz w:val="17"/>
                <w:szCs w:val="17"/>
              </w:rPr>
              <w:t xml:space="preserve">ISO 13485 §7.3.3 · IEC 62366-1 §5.1 · 21 CFR 820.30(c)</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URS-38</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An .xlsx workbook and a .docx document are read with no prior conversion: each table is returned with its original headers, empty cells keep their position, and the selected table goes through the SAME dry run as CSV. Enumeration values are mapped back to internal values whatever the file's language; an unrecognised value is reported and ignored, never stored as is.</w:t>
            </w:r>
          </w:p>
        </w:tc>
        <w:tc>
          <w:tcPr>
            <w:tcW w:type="pct" w:w="28%"/>
            <w:tcMar>
              <w:top w:type="dxa" w:w="80"/>
              <w:left w:type="dxa" w:w="110"/>
              <w:bottom w:type="dxa" w:w="80"/>
              <w:right w:type="dxa" w:w="110"/>
            </w:tcMar>
          </w:tcPr>
          <w:p>
            <w:pPr>
              <w:spacing w:after="0"/>
            </w:pPr>
            <w:r>
              <w:rPr>
                <w:sz w:val="17"/>
                <w:szCs w:val="17"/>
              </w:rPr>
              <w:t xml:space="preserve">An empty cell not preserved shifts every following one: a requirement's rationale ends up in the subsystem, and nothing reports it — the most silent defect an import can produce. An enumeration value stored as is is just as serious the other way round: a “Haute” requirement imported from a French file displays as low and drops out of criticality filters, so the file's most critical requirement becomes the least visible.</w:t>
            </w:r>
          </w:p>
        </w:tc>
        <w:tc>
          <w:tcPr>
            <w:tcW w:type="pct" w:w="20%"/>
            <w:tcMar>
              <w:top w:type="dxa" w:w="80"/>
              <w:left w:type="dxa" w:w="110"/>
              <w:bottom w:type="dxa" w:w="80"/>
              <w:right w:type="dxa" w:w="110"/>
            </w:tcMar>
          </w:tcPr>
          <w:p>
            <w:pPr>
              <w:spacing w:after="0"/>
            </w:pPr>
            <w:r>
              <w:rPr>
                <w:sz w:val="17"/>
                <w:szCs w:val="17"/>
              </w:rPr>
              <w:t xml:space="preserve">ISO 13485 §4.2.5 · 21 CFR 11.10(a) · ALCOA+ — exact et complet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URS-39</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exported technical file indexes the programme's content against the diagnostic referential — the SAME one as the frame supplied beforehand — and derives every status from the graph, never from an entry. Items outside Filum's scope are named as such with the source they must come from, and the index cannot contradict the package it indexes. The export is logged with the index state at the moment it leaves.</w:t>
            </w:r>
          </w:p>
        </w:tc>
        <w:tc>
          <w:tcPr>
            <w:tcW w:type="pct" w:w="28%"/>
            <w:tcMar>
              <w:top w:type="dxa" w:w="80"/>
              <w:left w:type="dxa" w:w="110"/>
              <w:bottom w:type="dxa" w:w="80"/>
              <w:right w:type="dxa" w:w="110"/>
            </w:tcMar>
          </w:tcPr>
          <w:p>
            <w:pPr>
              <w:spacing w:after="0"/>
            </w:pPr>
            <w:r>
              <w:rPr>
                <w:sz w:val="17"/>
                <w:szCs w:val="17"/>
              </w:rPr>
              <w:t xml:space="preserve">An index announcing “no design review” while the review sits three lines below in the same package destroys the credibility of the whole file before an inspector — and it is a silent defect, since the index looks complete. An index leaving out the out-of-scope items would be worse still: it would suggest a complete technical file where there is only design, and the gap would be found by the auditor rather than by the manufacturer.</w:t>
            </w:r>
          </w:p>
        </w:tc>
        <w:tc>
          <w:tcPr>
            <w:tcW w:type="pct" w:w="20%"/>
            <w:tcMar>
              <w:top w:type="dxa" w:w="80"/>
              <w:left w:type="dxa" w:w="110"/>
              <w:bottom w:type="dxa" w:w="80"/>
              <w:right w:type="dxa" w:w="110"/>
            </w:tcMar>
          </w:tcPr>
          <w:p>
            <w:pPr>
              <w:spacing w:after="0"/>
            </w:pPr>
            <w:r>
              <w:rPr>
                <w:sz w:val="17"/>
                <w:szCs w:val="17"/>
              </w:rPr>
              <w:t xml:space="preserve">ISO 13485 §4.2.3 · 21 CFR 820.30(j) · MDR (UE) 2017/745 Annexe II</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URS-40</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The database uses WAL journalling, and the switch is applied at start-up idempotently. The file volume is APPEND-ONLY: no path in the software deletes or overwrites in it. A check re-reads every piece referenced by the database and distinguishes an ABSENT piece — files behind the database — from a TAMPERED piece — bytes changed outside the software.</w:t>
            </w:r>
          </w:p>
        </w:tc>
        <w:tc>
          <w:tcPr>
            <w:tcW w:type="pct" w:w="28%"/>
            <w:tcMar>
              <w:top w:type="dxa" w:w="80"/>
              <w:left w:type="dxa" w:w="110"/>
              <w:bottom w:type="dxa" w:w="80"/>
              <w:right w:type="dxa" w:w="110"/>
            </w:tcMar>
          </w:tcPr>
          <w:p>
            <w:pPr>
              <w:spacing w:after="0"/>
            </w:pPr>
            <w:r>
              <w:rPr>
                <w:sz w:val="17"/>
                <w:szCs w:val="17"/>
              </w:rPr>
              <w:t xml:space="preserve">Continuous replication replicates only the database. Without the append-only property of the file volume, no restore ordering rule would be safe, and a restore would produce approved records whose bytes are missing — a regulatory file with pieces removed and nothing reporting it. Without WAL, an installation “with replication” would replicate nothing. And confusing an absent piece with a tampered one would have an integrity breach handled as an operations incident.</w:t>
            </w:r>
          </w:p>
        </w:tc>
        <w:tc>
          <w:tcPr>
            <w:tcW w:type="pct" w:w="20%"/>
            <w:tcMar>
              <w:top w:type="dxa" w:w="80"/>
              <w:left w:type="dxa" w:w="110"/>
              <w:bottom w:type="dxa" w:w="80"/>
              <w:right w:type="dxa" w:w="110"/>
            </w:tcMar>
          </w:tcPr>
          <w:p>
            <w:pPr>
              <w:spacing w:after="0"/>
            </w:pPr>
            <w:r>
              <w:rPr>
                <w:sz w:val="17"/>
                <w:szCs w:val="17"/>
              </w:rPr>
              <w:t xml:space="preserve">21 CFR 11.10(c) · Annexe 11 (projet) — Sauvegarde et restauration · ISO 13485 §4.2.5</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URS-41</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An installation declared as a “demonstration” states on EVERY screen, including before any sign-in, that it carries fictional data, that it is erased periodically, and that it is not a qualified installation. The warning cannot be dismissed. The mode is off by default and accepts only an explicit value. It changes NOTHING of what the software records: no module producing data or documents depends on it.</w:t>
            </w:r>
          </w:p>
        </w:tc>
        <w:tc>
          <w:tcPr>
            <w:tcW w:type="pct" w:w="28%"/>
            <w:tcMar>
              <w:top w:type="dxa" w:w="80"/>
              <w:left w:type="dxa" w:w="110"/>
              <w:bottom w:type="dxa" w:w="80"/>
              <w:right w:type="dxa" w:w="110"/>
            </w:tcMar>
          </w:tcPr>
          <w:p>
            <w:pPr>
              <w:spacing w:after="0"/>
            </w:pPr>
            <w:r>
              <w:rPr>
                <w:sz w:val="17"/>
                <w:szCs w:val="17"/>
              </w:rPr>
              <w:t xml:space="preserve">A public instance is identical to a real one — that is the whole point of a demonstration, and it is what makes it deceptive. A visitor uploading a real design file makes it public AND loses it at the next reset; a visitor mistaking the instance for a qualified installation relies on signatures that are worthless. The warning must therefore appear BEFORE sign-in, since that is where the decision to upload is taken. Conversely, a mode switched on by a mis-copied variable would stamp “fictional data” across every screenshot in a customer's validation file.</w:t>
            </w:r>
          </w:p>
        </w:tc>
        <w:tc>
          <w:tcPr>
            <w:tcW w:type="pct" w:w="20%"/>
            <w:tcMar>
              <w:top w:type="dxa" w:w="80"/>
              <w:left w:type="dxa" w:w="110"/>
              <w:bottom w:type="dxa" w:w="80"/>
              <w:right w:type="dxa" w:w="110"/>
            </w:tcMar>
          </w:tcPr>
          <w:p>
            <w:pPr>
              <w:spacing w:after="0"/>
            </w:pPr>
            <w:r>
              <w:rPr>
                <w:sz w:val="17"/>
                <w:szCs w:val="17"/>
              </w:rPr>
              <w:t xml:space="preserve">21 CFR 11.10(a) · ALCOA+ — attribuable et exact · ISO 13485 §4.2.4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URS-42</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by-programme view carries a row for whatever is attached to NO programme, and reconciles every indicator against a total queried separately from the database — never obtained by summing its own rows. Any gap is displayed instead of being hidden. Documents whose programme contradicts their activity's are named. The “requirement covered” rule is the one used by the rest of the product.</w:t>
            </w:r>
          </w:p>
        </w:tc>
        <w:tc>
          <w:tcPr>
            <w:tcW w:type="pct" w:w="28%"/>
            <w:tcMar>
              <w:top w:type="dxa" w:w="80"/>
              <w:left w:type="dxa" w:w="110"/>
              <w:bottom w:type="dxa" w:w="80"/>
              <w:right w:type="dxa" w:w="110"/>
            </w:tcMar>
          </w:tcPr>
          <w:p>
            <w:pPr>
              <w:spacing w:after="0"/>
            </w:pPr>
            <w:r>
              <w:rPr>
                <w:sz w:val="17"/>
                <w:szCs w:val="17"/>
              </w:rPr>
              <w:t xml:space="preserve">Attachment to a programme is optional almost everywhere in the schema. A table listing only programmes would therefore show an organisation in order while part of the file appears nowhere — every row being correct on its own, nobody would see it. That is the mistake already made here with a 100 % coverage rate displayed above thirty-seven requirements that nothing covered: the rate was right, its denominator was not. A table checking itself by summing its own rows could never contradict itself, hence would prove nothing. And a second definition of “covered” would have the screen say something other than the exported technical file, with no way to tell which one lies.</w:t>
            </w:r>
          </w:p>
        </w:tc>
        <w:tc>
          <w:tcPr>
            <w:tcW w:type="pct" w:w="20%"/>
            <w:tcMar>
              <w:top w:type="dxa" w:w="80"/>
              <w:left w:type="dxa" w:w="110"/>
              <w:bottom w:type="dxa" w:w="80"/>
              <w:right w:type="dxa" w:w="110"/>
            </w:tcMar>
          </w:tcPr>
          <w:p>
            <w:pPr>
              <w:spacing w:after="0"/>
            </w:pPr>
            <w:r>
              <w:rPr>
                <w:sz w:val="17"/>
                <w:szCs w:val="17"/>
              </w:rPr>
              <w:t xml:space="preserve">ISO 13485 §4.2.3 · 21 CFR 820.30(j) · ALCOA+ — complet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URS-43</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Importing a workbook or a document unfolds merged cells: the value of a vertical merge is carried onto the rows it spans, and a horizontal merge shifts no column while not being copied into neighbouring fields. Sheets are named whatever produced the file. Dates are made readable. A formula with no calculated value is counted and reported instead of yielding an empty cell. Everything the extraction did, or could not do, is displayed BEFORE the table is chosen.</w:t>
            </w:r>
          </w:p>
        </w:tc>
        <w:tc>
          <w:tcPr>
            <w:tcW w:type="pct" w:w="28%"/>
            <w:tcMar>
              <w:top w:type="dxa" w:w="80"/>
              <w:left w:type="dxa" w:w="110"/>
              <w:bottom w:type="dxa" w:w="80"/>
              <w:right w:type="dxa" w:w="110"/>
            </w:tcMar>
          </w:tcPr>
          <w:p>
            <w:pPr>
              <w:spacing w:after="0"/>
            </w:pPr>
            <w:r>
              <w:rPr>
                <w:sz w:val="17"/>
                <w:szCs w:val="17"/>
              </w:rPr>
              <w:t xml:space="preserve">A traceability matrix almost always places one requirement against several specifications by merging its cell. The value exists only ONCE in the file: without unfolding, the following rows arrive with no requirement code, and the import rejects them — or creates them attached to nothing. A horizontal merge writes one cell for several columns: without padding, the whole end of the row shifts and the status lands in the owner column. Both defects are SILENT: the file looks imported, the row count is right, and the error is only found at design-file review. A formula whose value was never calculated yields an empty cell that nothing distinguishes from a genuinely empty one.</w:t>
            </w:r>
          </w:p>
        </w:tc>
        <w:tc>
          <w:tcPr>
            <w:tcW w:type="pct" w:w="20%"/>
            <w:tcMar>
              <w:top w:type="dxa" w:w="80"/>
              <w:left w:type="dxa" w:w="110"/>
              <w:bottom w:type="dxa" w:w="80"/>
              <w:right w:type="dxa" w:w="110"/>
            </w:tcMar>
          </w:tcPr>
          <w:p>
            <w:pPr>
              <w:spacing w:after="0"/>
            </w:pPr>
            <w:r>
              <w:rPr>
                <w:sz w:val="17"/>
                <w:szCs w:val="17"/>
              </w:rPr>
              <w:t xml:space="preserve">21 CFR 11.10(a) · ALCOA+ — exact et complet · ISO 13485 §7.3.3</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URS-44</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Directory-delegated authentication opens a SESSION and nothing else: the second signing component remains a local secret, re-requested at every affixing, and no module on the signing path depends on SSO. An identity token is accepted only after verification of its RS256 signature, issuer, audience, expiry and nonce. No person is created from the directory. When the installation opens sessions only through the directory, the refusal of local sign-in is enforced server-side.</w:t>
            </w:r>
          </w:p>
        </w:tc>
        <w:tc>
          <w:tcPr>
            <w:tcW w:type="pct" w:w="28%"/>
            <w:tcMar>
              <w:top w:type="dxa" w:w="80"/>
              <w:left w:type="dxa" w:w="110"/>
              <w:bottom w:type="dxa" w:w="80"/>
              <w:right w:type="dxa" w:w="110"/>
            </w:tcMar>
          </w:tcPr>
          <w:p>
            <w:pPr>
              <w:spacing w:after="0"/>
            </w:pPr>
            <w:r>
              <w:rPr>
                <w:sz w:val="17"/>
                <w:szCs w:val="17"/>
              </w:rPr>
              <w:t xml:space="preserve">21 CFR 11.200(a)(1) requires two distinct identification components at signing. Delegating sign-in removes the second: the installation no longer sees any secret of the user. Redirecting to the directory at each signature does not restore it — the provider may re-issue a token without challenging anyone, on the strength of its own session, and the software has no way to tell the two apart: one would be claiming an unverifiable component. On the token side, “alg: none” and RS256/HS256 confusion open a session under anyone's identity; an unverified nonce allows replaying a token obtained elsewhere. And creating a person because a directory named them would transfer to that directory the identity verification of §11.100(b) and the training of §11.10(i), making attributable to someone a signature nobody authorised.</w:t>
            </w:r>
          </w:p>
        </w:tc>
        <w:tc>
          <w:tcPr>
            <w:tcW w:type="pct" w:w="20%"/>
            <w:tcMar>
              <w:top w:type="dxa" w:w="80"/>
              <w:left w:type="dxa" w:w="110"/>
              <w:bottom w:type="dxa" w:w="80"/>
              <w:right w:type="dxa" w:w="110"/>
            </w:tcMar>
          </w:tcPr>
          <w:p>
            <w:pPr>
              <w:spacing w:after="0"/>
            </w:pPr>
            <w:r>
              <w:rPr>
                <w:sz w:val="17"/>
                <w:szCs w:val="17"/>
              </w:rPr>
              <w:t xml:space="preserve">21 CFR 11.200(a)(1) · 21 CFR 11.100(b) · 21 CFR 11.10(d) · 21 CFR 11.300(d)</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URS-45</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The points of the software whose behaviour depends on the database ENGINE — not on the database — are inventoried, and the inventory is re-read from the source at every version: a point appearing outside the inventory fails the check. The software is qualified on the engine named by the validation file, and claims no other.</w:t>
            </w:r>
          </w:p>
        </w:tc>
        <w:tc>
          <w:tcPr>
            <w:tcW w:type="pct" w:w="28%"/>
            <w:tcMar>
              <w:top w:type="dxa" w:w="80"/>
              <w:left w:type="dxa" w:w="110"/>
              <w:bottom w:type="dxa" w:w="80"/>
              <w:right w:type="dxa" w:w="110"/>
            </w:tcMar>
          </w:tcPr>
          <w:p>
            <w:pPr>
              <w:spacing w:after="0"/>
            </w:pPr>
            <w:r>
              <w:rPr>
                <w:sz w:val="17"/>
                <w:szCs w:val="17"/>
              </w:rPr>
              <w:t xml:space="preserve">An engine provides for free properties the code never asks for, which become invisible precisely because they work. The audit-trail chaining reads the head then writes: continuity of the links rests on the engine admitting only one writer at a time, which is written nowhere in the code. “contains” searches ignore case for the same reason — under another engine they would stop finding, without error, which is worse than a failure. These dependencies would be discovered at a customer site, in production, on the functions that stand as evidence. An inventory written in a document goes stale at the first addition; re-read from the source, it cannot.</w:t>
            </w:r>
          </w:p>
        </w:tc>
        <w:tc>
          <w:tcPr>
            <w:tcW w:type="pct" w:w="20%"/>
            <w:tcMar>
              <w:top w:type="dxa" w:w="80"/>
              <w:left w:type="dxa" w:w="110"/>
              <w:bottom w:type="dxa" w:w="80"/>
              <w:right w:type="dxa" w:w="110"/>
            </w:tcMar>
          </w:tcPr>
          <w:p>
            <w:pPr>
              <w:spacing w:after="0"/>
            </w:pPr>
            <w:r>
              <w:rPr>
                <w:sz w:val="17"/>
                <w:szCs w:val="17"/>
              </w:rPr>
              <w:t xml:space="preserve">21 CFR 11.10(a) · GAMP 5 — infrastructure qualifiée · ISO 13485 §4.1.6</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URS-46</w:t>
            </w:r>
          </w:p>
          <w:p>
            <w:pPr>
              <w:spacing w:after="0"/>
            </w:pPr>
            <w:r>
              <w:rPr>
                <w:b/>
                <w:bCs/>
                <w:color w:val="DC2626"/>
                <w:sz w:val="15"/>
                <w:szCs w:val="15"/>
              </w:rPr>
              <w:t xml:space="preserve">High</w:t>
            </w:r>
          </w:p>
        </w:tc>
        <w:tc>
          <w:tcPr>
            <w:tcW w:type="pct" w:w="41%"/>
            <w:tcMar>
              <w:top w:type="dxa" w:w="80"/>
              <w:left w:type="dxa" w:w="110"/>
              <w:bottom w:type="dxa" w:w="80"/>
              <w:right w:type="dxa" w:w="110"/>
            </w:tcMar>
          </w:tcPr>
          <w:p>
            <w:pPr>
              <w:spacing w:after="0"/>
            </w:pPr>
            <w:r>
              <w:rPr>
                <w:sz w:val="17"/>
                <w:szCs w:val="17"/>
              </w:rPr>
              <w:t xml:space="preserve">Application access to the design file is READ-ONLY: no API route writes to the design graph, and the property is established by re-reading the source. Every route goes through a single guard that requires a token, logs the access under that token's name, and refuses without distinguishing an absent token from a revoked one. The token is kept only as a fingerprint. Every response carries the fingerprint of its data and the audit-chain anchor at extraction time, following a computation rule written into the response itself.</w:t>
            </w:r>
          </w:p>
        </w:tc>
        <w:tc>
          <w:tcPr>
            <w:tcW w:type="pct" w:w="28%"/>
            <w:tcMar>
              <w:top w:type="dxa" w:w="80"/>
              <w:left w:type="dxa" w:w="110"/>
              <w:bottom w:type="dxa" w:w="80"/>
              <w:right w:type="dxa" w:w="110"/>
            </w:tcMar>
          </w:tcPr>
          <w:p>
            <w:pPr>
              <w:spacing w:after="0"/>
            </w:pPr>
            <w:r>
              <w:rPr>
                <w:sz w:val="17"/>
                <w:szCs w:val="17"/>
              </w:rPr>
              <w:t xml:space="preserve">A write door opened to a machine would bypass everything that gives the file its value: the lifecycle, content freezing, the signature. Data entered by a script would be attributable to nobody, and the claim “the graph is the only way in” would become false with nothing to signal it. The property must therefore be re-read in the source at every version, not promised. On the way out, an export that leaves the system stops being verifiable: without a fingerprint the recipient cannot establish they hold the document produced, and without an anchor they cannot say which state of the file it matches — faced with a discrepancy six months later, the operator carries the doubt. And a token kept in clear would be reusable by anyone reaching the database, with nobody ever changing it: unlike a password, a script does not complain.</w:t>
            </w:r>
          </w:p>
        </w:tc>
        <w:tc>
          <w:tcPr>
            <w:tcW w:type="pct" w:w="20%"/>
            <w:tcMar>
              <w:top w:type="dxa" w:w="80"/>
              <w:left w:type="dxa" w:w="110"/>
              <w:bottom w:type="dxa" w:w="80"/>
              <w:right w:type="dxa" w:w="110"/>
            </w:tcMar>
          </w:tcPr>
          <w:p>
            <w:pPr>
              <w:spacing w:after="0"/>
            </w:pPr>
            <w:r>
              <w:rPr>
                <w:sz w:val="17"/>
                <w:szCs w:val="17"/>
              </w:rPr>
              <w:t xml:space="preserve">21 CFR 11.10(a) · 21 CFR 11.10(d) · 21 CFR 11.10(e) · ALCOA+ — attribuable et exact</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URS-47</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PDF/A conformance of archival copies is established by an INDEPENDENT VALIDATOR — veraPDF, the reference implementation — and not by Filum's own checks alone. The verification runs against a document built to defeat it, and the harness carries a deliberately non-conformant witness: if the validator lets the witness through, no other result of that run is retained. Any character absent from the embedded font is replaced — never rendered through the .notdef glyph, which the format forbids — and every copy DECLARES the substitutions it carries.</w:t>
            </w:r>
          </w:p>
        </w:tc>
        <w:tc>
          <w:tcPr>
            <w:tcW w:type="pct" w:w="28%"/>
            <w:tcMar>
              <w:top w:type="dxa" w:w="80"/>
              <w:left w:type="dxa" w:w="110"/>
              <w:bottom w:type="dxa" w:w="80"/>
              <w:right w:type="dxa" w:w="110"/>
            </w:tcMar>
          </w:tcPr>
          <w:p>
            <w:pPr>
              <w:spacing w:after="0"/>
            </w:pPr>
            <w:r>
              <w:rPr>
                <w:sz w:val="17"/>
                <w:szCs w:val="17"/>
              </w:rPr>
              <w:t xml:space="preserve">A verifier written by the author of the code shares exactly its blind spots: what one did not think to produce, one does not think to look for either. The demonstration is not theoretical — Filum's structural check declared conformant, from 6 to 9 August 2026, records that referenced the .notdef glyph, and veraPDF found it on its first run over 4 files out of 15. The specific risk is not the format: it is that an archive handed to an inspection carries metadata asserting a conformance nobody outside has measured. The witness answers the symmetric risk — a harness that can no longer say “non-conformant” would return a permanent green, that is, a decorative guard.</w:t>
            </w:r>
          </w:p>
        </w:tc>
        <w:tc>
          <w:tcPr>
            <w:tcW w:type="pct" w:w="20%"/>
            <w:tcMar>
              <w:top w:type="dxa" w:w="80"/>
              <w:left w:type="dxa" w:w="110"/>
              <w:bottom w:type="dxa" w:w="80"/>
              <w:right w:type="dxa" w:w="110"/>
            </w:tcMar>
          </w:tcPr>
          <w:p>
            <w:pPr>
              <w:spacing w:after="0"/>
            </w:pPr>
            <w:r>
              <w:rPr>
                <w:sz w:val="17"/>
                <w:szCs w:val="17"/>
              </w:rPr>
              <w:t xml:space="preserve">21 CFR 11.10(b) · 21 CFR 11.10(c) · ISO 19005-2:2011</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URS-48</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A document may declare an EFFECTIVE DATE distinct from its approval and a REVIEW INTERVAL. On release, Filum sets the effective date and computes the next review due date. A periodic review is recorded with its CONCLUSION — remains applicable, or must be revised — and pushes the due date from the date of the review. Any delay against the previous due date is written to the audit trail BEFORE being replaced. A document declaring NO interval never acquires a due date and appears in no counter.</w:t>
            </w:r>
          </w:p>
        </w:tc>
        <w:tc>
          <w:tcPr>
            <w:tcW w:type="pct" w:w="28%"/>
            <w:tcMar>
              <w:top w:type="dxa" w:w="80"/>
              <w:left w:type="dxa" w:w="110"/>
              <w:bottom w:type="dxa" w:w="80"/>
              <w:right w:type="dxa" w:w="110"/>
            </w:tcMar>
          </w:tcPr>
          <w:p>
            <w:pPr>
              <w:spacing w:after="0"/>
            </w:pPr>
            <w:r>
              <w:rPr>
                <w:sz w:val="17"/>
                <w:szCs w:val="17"/>
              </w:rPr>
              <w:t xml:space="preserve">Without periodic review, an approved procedure stays indefinitely “current”: it looks perfectly compliant, and that is exactly what makes it invisible. This is a classic audit finding under ISO 13485 §4.2.4. The effective date answers the same need from the other end: approving and making applicable are two distinct acts — the time needed to train people — and conflating them makes the file state that the procedure applied before anyone knew of it. The symmetric risk is noise: showing a due date on a frozen test report would fill with false duties a screen whose value lies in carrying none. Hence an OPTIONAL interval, and a document without one staying entirely silent.</w:t>
            </w:r>
          </w:p>
        </w:tc>
        <w:tc>
          <w:tcPr>
            <w:tcW w:type="pct" w:w="20%"/>
            <w:tcMar>
              <w:top w:type="dxa" w:w="80"/>
              <w:left w:type="dxa" w:w="110"/>
              <w:bottom w:type="dxa" w:w="80"/>
              <w:right w:type="dxa" w:w="110"/>
            </w:tcMar>
          </w:tcPr>
          <w:p>
            <w:pPr>
              <w:spacing w:after="0"/>
            </w:pPr>
            <w:r>
              <w:rPr>
                <w:sz w:val="17"/>
                <w:szCs w:val="17"/>
              </w:rPr>
              <w:t xml:space="preserve">ISO 13485 §4.2.4 · 21 CFR 11.10(a) · 21 CFR 11.10(e) · Annexe 11 §4</w:t>
            </w:r>
          </w:p>
        </w:tc>
      </w:tr>
      <w:tr>
        <w:tc>
          <w:tcPr>
            <w:tcW w:type="pct" w:w="11%"/>
            <w:shd w:fill="F8FAFC"/>
            <w:tcMar>
              <w:top w:type="dxa" w:w="80"/>
              <w:left w:type="dxa" w:w="110"/>
              <w:bottom w:type="dxa" w:w="80"/>
              <w:right w:type="dxa" w:w="110"/>
            </w:tcMar>
          </w:tcPr>
          <w:p>
            <w:pPr>
              <w:spacing w:after="60"/>
            </w:pPr>
            <w:r>
              <w:rPr>
                <w:b/>
                <w:bCs/>
                <w:color w:val="4338CA"/>
                <w:sz w:val="17"/>
                <w:szCs w:val="17"/>
              </w:rPr>
              <w:t xml:space="preserve">URS-49</w:t>
            </w:r>
          </w:p>
          <w:p>
            <w:pPr>
              <w:spacing w:after="0"/>
            </w:pPr>
            <w:r>
              <w:rPr>
                <w:b/>
                <w:bCs/>
                <w:color w:val="B45309"/>
                <w:sz w:val="15"/>
                <w:szCs w:val="15"/>
              </w:rPr>
              <w:t xml:space="preserve">Medium</w:t>
            </w:r>
          </w:p>
        </w:tc>
        <w:tc>
          <w:tcPr>
            <w:tcW w:type="pct" w:w="41%"/>
            <w:tcMar>
              <w:top w:type="dxa" w:w="80"/>
              <w:left w:type="dxa" w:w="110"/>
              <w:bottom w:type="dxa" w:w="80"/>
              <w:right w:type="dxa" w:w="110"/>
            </w:tcMar>
          </w:tcPr>
          <w:p>
            <w:pPr>
              <w:spacing w:after="0"/>
            </w:pPr>
            <w:r>
              <w:rPr>
                <w:sz w:val="17"/>
                <w:szCs w:val="17"/>
              </w:rPr>
              <w:t xml:space="preserve">A document may carry a DISTRIBUTION LIST naming the people who must have read it. Each recipient ACKNOWLEDGES themselves, and only for themselves: no path allows acknowledging on behalf of another. An acknowledgement covers ONE REVISION — opening a revision marks the rows superseded, creates fresh ones for the same recipients, and therefore puts everyone back to pending without erasing what had been read of the previous revision. The distribution state counts deactivated recipients separately: neither cleared nor required. Filum sends nothing.</w:t>
            </w:r>
          </w:p>
        </w:tc>
        <w:tc>
          <w:tcPr>
            <w:tcW w:type="pct" w:w="28%"/>
            <w:tcMar>
              <w:top w:type="dxa" w:w="80"/>
              <w:left w:type="dxa" w:w="110"/>
              <w:bottom w:type="dxa" w:w="80"/>
              <w:right w:type="dxa" w:w="110"/>
            </w:tcMar>
          </w:tcPr>
          <w:p>
            <w:pPr>
              <w:spacing w:after="0"/>
            </w:pPr>
            <w:r>
              <w:rPr>
                <w:sz w:val="17"/>
                <w:szCs w:val="17"/>
              </w:rPr>
              <w:t xml:space="preserve">ISO 13485 §4.2.4 requires the current version to be available at points of use and obsolete versions not to be used unintentionally. A released procedure of which nobody knows whether it reached anyone meets neither requirement, and the defect is invisible: the document looks perfectly compliant. The symmetric risk is the courtesy acknowledgement — if a third party can acknowledge on behalf of an operator, the record carries a name without the person having read anything, which is worse than no acknowledgement at all: it is misleading. Hence the rule “you acknowledge only for yourself”, the same one that governs signature. Finally, an acknowledgement surviving a revision would make a version nobody opened appear read, turning the function against its own purpose.</w:t>
            </w:r>
          </w:p>
        </w:tc>
        <w:tc>
          <w:tcPr>
            <w:tcW w:type="pct" w:w="20%"/>
            <w:tcMar>
              <w:top w:type="dxa" w:w="80"/>
              <w:left w:type="dxa" w:w="110"/>
              <w:bottom w:type="dxa" w:w="80"/>
              <w:right w:type="dxa" w:w="110"/>
            </w:tcMar>
          </w:tcPr>
          <w:p>
            <w:pPr>
              <w:spacing w:after="0"/>
            </w:pPr>
            <w:r>
              <w:rPr>
                <w:sz w:val="17"/>
                <w:szCs w:val="17"/>
              </w:rPr>
              <w:t xml:space="preserve">ISO 13485 §4.2.4 · 21 CFR 11.10(d) · 21 CFR 11.200(a)(3) · ALCOA+ — attribuable</w:t>
            </w:r>
          </w:p>
        </w:tc>
      </w:tr>
    </w:tbl>
    <w:p>
      <w:pPr>
        <w:pStyle w:val="Heading2"/>
        <w:spacing w:after="140" w:before="320"/>
      </w:pPr>
      <w:r>
        <w:t xml:space="preserve">4. Software risk analysis</w:t>
      </w:r>
    </w:p>
    <w:p>
      <w:pPr>
        <w:spacing w:after="140"/>
      </w:pPr>
      <w:r>
        <w:rPr>
          <w:sz w:val="20"/>
          <w:szCs w:val="20"/>
        </w:rPr>
        <w:t xml:space="preserve">Breakdown: 29 requirements at high risk, 18 at medium risk, 2 at low risk. Every high-risk requirement bears on the integrity or the attribution of records: its failure does not degrade convenience, it makes a record indefensible. Each is covered by a dedicated test case, executed at every version.</w:t>
      </w:r>
    </w:p>
    <w:p>
      <w:pPr>
        <w:spacing w:after="160"/>
      </w:pPr>
      <w:r>
        <w:rPr>
          <w:sz w:val="20"/>
          <w:szCs w:val="20"/>
        </w:rPr>
        <w:t xml:space="preserve">No requirement in this file bears on a clinical decision function: Filum does not interpret patient results and drives no device. The analytical performance engine computes statistical quantities whose CONCLUSION is still pronounced by a human, who signs it.</w:t>
      </w:r>
    </w:p>
    <w:p>
      <w:pPr>
        <w:pStyle w:val="Heading1"/>
        <w:spacing w:after="140" w:before="320"/>
      </w:pPr>
      <w:r>
        <w:t xml:space="preserve">5. Operational qualification (OQ) report</w:t>
      </w:r>
    </w:p>
    <w:p>
      <w:pPr>
        <w:spacing w:after="140"/>
      </w:pPr>
      <w:r>
        <w:rPr>
          <w:sz w:val="20"/>
          <w:szCs w:val="20"/>
        </w:rPr>
        <w:t xml:space="preserve">The cases below were executed by the vendor against the delivered code, on a database created for the occasion and then destroyed. They call the same functions as the application — not copies written for the purpose.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E0E7FF"/>
            <w:tcMar>
              <w:top w:type="dxa" w:w="80"/>
              <w:left w:type="dxa" w:w="110"/>
              <w:bottom w:type="dxa" w:w="80"/>
              <w:right w:type="dxa" w:w="110"/>
            </w:tcMar>
          </w:tcPr>
          <w:p>
            <w:pPr>
              <w:spacing w:after="0"/>
            </w:pPr>
            <w:r>
              <w:rPr>
                <w:b/>
                <w:bCs/>
                <w:sz w:val="17"/>
                <w:szCs w:val="17"/>
              </w:rPr>
              <w:t xml:space="preserve">Execution</w:t>
            </w:r>
          </w:p>
        </w:tc>
        <w:tc>
          <w:tcPr>
            <w:tcW w:type="pct" w:w="74%"/>
            <w:shd w:fill="E0E7FF"/>
            <w:tcMar>
              <w:top w:type="dxa" w:w="80"/>
              <w:left w:type="dxa" w:w="110"/>
              <w:bottom w:type="dxa" w:w="80"/>
              <w:right w:type="dxa" w:w="110"/>
            </w:tcMar>
          </w:tcPr>
          <w:p>
            <w:pPr>
              <w:spacing w:after="0"/>
            </w:pPr>
            <w:r>
              <w:rPr>
                <w:b/>
                <w:bCs/>
                <w:sz w:val="17"/>
                <w:szCs w:val="17"/>
              </w:rPr>
              <w:t xml:space="preserve">Context</w:t>
            </w:r>
          </w:p>
        </w:tc>
      </w:tr>
      <w:tr>
        <w:tc>
          <w:tcPr>
            <w:tcW w:type="pct" w:w="26%"/>
            <w:tcMar>
              <w:top w:type="dxa" w:w="80"/>
              <w:left w:type="dxa" w:w="110"/>
              <w:bottom w:type="dxa" w:w="80"/>
              <w:right w:type="dxa" w:w="110"/>
            </w:tcMar>
          </w:tcPr>
          <w:p>
            <w:pPr>
              <w:spacing w:after="0"/>
            </w:pPr>
            <w:r>
              <w:rPr>
                <w:b/>
                <w:bCs/>
                <w:sz w:val="17"/>
                <w:szCs w:val="17"/>
              </w:rPr>
              <w:t xml:space="preserve">Date and time (UTC)</w:t>
            </w:r>
          </w:p>
        </w:tc>
        <w:tc>
          <w:tcPr>
            <w:tcW w:type="pct" w:w="74%"/>
            <w:tcMar>
              <w:top w:type="dxa" w:w="80"/>
              <w:left w:type="dxa" w:w="110"/>
              <w:bottom w:type="dxa" w:w="80"/>
              <w:right w:type="dxa" w:w="110"/>
            </w:tcMar>
          </w:tcPr>
          <w:p>
            <w:pPr>
              <w:spacing w:after="0"/>
            </w:pPr>
            <w:r>
              <w:rPr>
                <w:sz w:val="17"/>
                <w:szCs w:val="17"/>
              </w:rPr>
              <w:t xml:space="preserve">1 October 2026 at 11:08</w:t>
            </w:r>
          </w:p>
        </w:tc>
      </w:tr>
      <w:tr>
        <w:tc>
          <w:tcPr>
            <w:tcW w:type="pct" w:w="26%"/>
            <w:tcMar>
              <w:top w:type="dxa" w:w="80"/>
              <w:left w:type="dxa" w:w="110"/>
              <w:bottom w:type="dxa" w:w="80"/>
              <w:right w:type="dxa" w:w="110"/>
            </w:tcMar>
          </w:tcPr>
          <w:p>
            <w:pPr>
              <w:spacing w:after="0"/>
            </w:pPr>
            <w:r>
              <w:rPr>
                <w:b/>
                <w:bCs/>
                <w:sz w:val="17"/>
                <w:szCs w:val="17"/>
              </w:rPr>
              <w:t xml:space="preserve">Software version</w:t>
            </w:r>
          </w:p>
        </w:tc>
        <w:tc>
          <w:tcPr>
            <w:tcW w:type="pct" w:w="74%"/>
            <w:tcMar>
              <w:top w:type="dxa" w:w="80"/>
              <w:left w:type="dxa" w:w="110"/>
              <w:bottom w:type="dxa" w:w="80"/>
              <w:right w:type="dxa" w:w="110"/>
            </w:tcMar>
          </w:tcPr>
          <w:p>
            <w:pPr>
              <w:spacing w:after="0"/>
            </w:pPr>
            <w:r>
              <w:rPr>
                <w:sz w:val="17"/>
                <w:szCs w:val="17"/>
              </w:rPr>
              <w:t xml:space="preserve">1.2.1</w:t>
            </w:r>
          </w:p>
        </w:tc>
      </w:tr>
      <w:tr>
        <w:tc>
          <w:tcPr>
            <w:tcW w:type="pct" w:w="26%"/>
            <w:tcMar>
              <w:top w:type="dxa" w:w="80"/>
              <w:left w:type="dxa" w:w="110"/>
              <w:bottom w:type="dxa" w:w="80"/>
              <w:right w:type="dxa" w:w="110"/>
            </w:tcMar>
          </w:tcPr>
          <w:p>
            <w:pPr>
              <w:spacing w:after="0"/>
            </w:pPr>
            <w:r>
              <w:rPr>
                <w:b/>
                <w:bCs/>
                <w:sz w:val="17"/>
                <w:szCs w:val="17"/>
              </w:rPr>
              <w:t xml:space="preserve">Platform</w:t>
            </w:r>
          </w:p>
        </w:tc>
        <w:tc>
          <w:tcPr>
            <w:tcW w:type="pct" w:w="74%"/>
            <w:tcMar>
              <w:top w:type="dxa" w:w="80"/>
              <w:left w:type="dxa" w:w="110"/>
              <w:bottom w:type="dxa" w:w="80"/>
              <w:right w:type="dxa" w:w="110"/>
            </w:tcMar>
          </w:tcPr>
          <w:p>
            <w:pPr>
              <w:spacing w:after="0"/>
            </w:pPr>
            <w:r>
              <w:rPr>
                <w:sz w:val="17"/>
                <w:szCs w:val="17"/>
              </w:rPr>
              <w:t xml:space="preserve">Windows_NT 10.0.26200 (x64)</w:t>
            </w:r>
          </w:p>
        </w:tc>
      </w:tr>
      <w:tr>
        <w:tc>
          <w:tcPr>
            <w:tcW w:type="pct" w:w="26%"/>
            <w:tcMar>
              <w:top w:type="dxa" w:w="80"/>
              <w:left w:type="dxa" w:w="110"/>
              <w:bottom w:type="dxa" w:w="80"/>
              <w:right w:type="dxa" w:w="110"/>
            </w:tcMar>
          </w:tcPr>
          <w:p>
            <w:pPr>
              <w:spacing w:after="0"/>
            </w:pPr>
            <w:r>
              <w:rPr>
                <w:b/>
                <w:bCs/>
                <w:sz w:val="17"/>
                <w:szCs w:val="17"/>
              </w:rPr>
              <w:t xml:space="preserve">Runtime</w:t>
            </w:r>
          </w:p>
        </w:tc>
        <w:tc>
          <w:tcPr>
            <w:tcW w:type="pct" w:w="74%"/>
            <w:tcMar>
              <w:top w:type="dxa" w:w="80"/>
              <w:left w:type="dxa" w:w="110"/>
              <w:bottom w:type="dxa" w:w="80"/>
              <w:right w:type="dxa" w:w="110"/>
            </w:tcMar>
          </w:tcPr>
          <w:p>
            <w:pPr>
              <w:spacing w:after="0"/>
            </w:pPr>
            <w:r>
              <w:rPr>
                <w:sz w:val="17"/>
                <w:szCs w:val="17"/>
              </w:rPr>
              <w:t xml:space="preserve">Node.js v24.18.0</w:t>
            </w:r>
          </w:p>
        </w:tc>
      </w:tr>
      <w:tr>
        <w:tc>
          <w:tcPr>
            <w:tcW w:type="pct" w:w="26%"/>
            <w:tcMar>
              <w:top w:type="dxa" w:w="80"/>
              <w:left w:type="dxa" w:w="110"/>
              <w:bottom w:type="dxa" w:w="80"/>
              <w:right w:type="dxa" w:w="110"/>
            </w:tcMar>
          </w:tcPr>
          <w:p>
            <w:pPr>
              <w:spacing w:after="0"/>
            </w:pPr>
            <w:r>
              <w:rPr>
                <w:b/>
                <w:bCs/>
                <w:sz w:val="17"/>
                <w:szCs w:val="17"/>
              </w:rPr>
              <w:t xml:space="preserve">Result</w:t>
            </w:r>
          </w:p>
        </w:tc>
        <w:tc>
          <w:tcPr>
            <w:tcW w:type="pct" w:w="74%"/>
            <w:tcMar>
              <w:top w:type="dxa" w:w="80"/>
              <w:left w:type="dxa" w:w="110"/>
              <w:bottom w:type="dxa" w:w="80"/>
              <w:right w:type="dxa" w:w="110"/>
            </w:tcMar>
          </w:tcPr>
          <w:p>
            <w:pPr>
              <w:spacing w:after="0"/>
            </w:pPr>
            <w:r>
              <w:rPr>
                <w:b/>
                <w:bCs/>
                <w:color w:val="047857"/>
                <w:sz w:val="17"/>
                <w:szCs w:val="17"/>
              </w:rPr>
              <w:t xml:space="preserve">46 of 46 cases conforming — no deviation</w:t>
            </w:r>
          </w:p>
        </w:tc>
      </w:tr>
    </w:tbl>
    <w:p>
      <w:pPr>
        <w:pStyle w:val="Heading2"/>
        <w:spacing w:after="140" w:before="320"/>
      </w:pPr>
      <w:r>
        <w:t xml:space="preserve">5.1 Detail of the cases executed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3%"/>
            <w:shd w:fill="E0E7FF"/>
            <w:tcMar>
              <w:top w:type="dxa" w:w="80"/>
              <w:left w:type="dxa" w:w="110"/>
              <w:bottom w:type="dxa" w:w="80"/>
              <w:right w:type="dxa" w:w="110"/>
            </w:tcMar>
          </w:tcPr>
          <w:p>
            <w:pPr>
              <w:spacing w:after="0"/>
            </w:pPr>
            <w:r>
              <w:rPr>
                <w:b/>
                <w:bCs/>
                <w:sz w:val="17"/>
                <w:szCs w:val="17"/>
              </w:rPr>
              <w:t xml:space="preserve">Case / requirement</w:t>
            </w:r>
          </w:p>
        </w:tc>
        <w:tc>
          <w:tcPr>
            <w:tcW w:type="pct" w:w="30%"/>
            <w:shd w:fill="E0E7FF"/>
            <w:tcMar>
              <w:top w:type="dxa" w:w="80"/>
              <w:left w:type="dxa" w:w="110"/>
              <w:bottom w:type="dxa" w:w="80"/>
              <w:right w:type="dxa" w:w="110"/>
            </w:tcMar>
          </w:tcPr>
          <w:p>
            <w:pPr>
              <w:spacing w:after="0"/>
            </w:pPr>
            <w:r>
              <w:rPr>
                <w:b/>
                <w:bCs/>
                <w:sz w:val="17"/>
                <w:szCs w:val="17"/>
              </w:rPr>
              <w:t xml:space="preserve">What is checked</w:t>
            </w:r>
          </w:p>
        </w:tc>
        <w:tc>
          <w:tcPr>
            <w:tcW w:type="pct" w:w="45%"/>
            <w:shd w:fill="E0E7FF"/>
            <w:tcMar>
              <w:top w:type="dxa" w:w="80"/>
              <w:left w:type="dxa" w:w="110"/>
              <w:bottom w:type="dxa" w:w="80"/>
              <w:right w:type="dxa" w:w="110"/>
            </w:tcMar>
          </w:tcPr>
          <w:p>
            <w:pPr>
              <w:spacing w:after="0"/>
            </w:pPr>
            <w:r>
              <w:rPr>
                <w:b/>
                <w:bCs/>
                <w:sz w:val="17"/>
                <w:szCs w:val="17"/>
              </w:rPr>
              <w:t xml:space="preserve">Evidence observed</w:t>
            </w:r>
          </w:p>
        </w:tc>
        <w:tc>
          <w:tcPr>
            <w:tcW w:type="pct" w:w="12%"/>
            <w:shd w:fill="E0E7FF"/>
            <w:tcMar>
              <w:top w:type="dxa" w:w="80"/>
              <w:left w:type="dxa" w:w="110"/>
              <w:bottom w:type="dxa" w:w="80"/>
              <w:right w:type="dxa" w:w="110"/>
            </w:tcMar>
          </w:tcPr>
          <w:p>
            <w:pPr>
              <w:spacing w:after="0"/>
            </w:pPr>
            <w:r>
              <w:rPr>
                <w:b/>
                <w:bCs/>
                <w:sz w:val="17"/>
                <w:szCs w:val="17"/>
              </w:rPr>
              <w:t xml:space="preserve">Verdict</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OQ-01</w:t>
            </w:r>
          </w:p>
          <w:p>
            <w:pPr>
              <w:spacing w:after="0"/>
            </w:pPr>
            <w:r>
              <w:rPr>
                <w:color w:val="475569"/>
                <w:sz w:val="15"/>
                <w:szCs w:val="15"/>
              </w:rPr>
              <w:t xml:space="preserve">URS-02</w:t>
            </w:r>
          </w:p>
        </w:tc>
        <w:tc>
          <w:tcPr>
            <w:tcW w:type="pct" w:w="30%"/>
            <w:tcMar>
              <w:top w:type="dxa" w:w="80"/>
              <w:left w:type="dxa" w:w="110"/>
              <w:bottom w:type="dxa" w:w="80"/>
              <w:right w:type="dxa" w:w="110"/>
            </w:tcMar>
          </w:tcPr>
          <w:p>
            <w:pPr>
              <w:spacing w:after="50"/>
            </w:pPr>
            <w:r>
              <w:rPr>
                <w:b/>
                <w:bCs/>
                <w:sz w:val="17"/>
                <w:szCs w:val="17"/>
              </w:rPr>
              <w:t xml:space="preserve">Complete truth table of authority checks</w:t>
            </w:r>
          </w:p>
          <w:p>
            <w:pPr>
              <w:spacing w:after="0"/>
            </w:pPr>
            <w:r>
              <w:rPr>
                <w:color w:val="475569"/>
                <w:sz w:val="15"/>
                <w:szCs w:val="15"/>
              </w:rPr>
              <w:t xml:space="preserve">Verify that the role hierarchy authorises exactly what it should, for the four roles and the three thresholds.</w:t>
            </w:r>
          </w:p>
        </w:tc>
        <w:tc>
          <w:tcPr>
            <w:tcW w:type="pct" w:w="45%"/>
            <w:tcMar>
              <w:top w:type="dxa" w:w="80"/>
              <w:left w:type="dxa" w:w="110"/>
              <w:bottom w:type="dxa" w:w="80"/>
              <w:right w:type="dxa" w:w="110"/>
            </w:tcMar>
          </w:tcPr>
          <w:p>
            <w:pPr>
              <w:spacing w:after="0"/>
            </w:pPr>
            <w:r>
              <w:rPr>
                <w:sz w:val="17"/>
                <w:szCs w:val="17"/>
              </w:rPr>
              <w:t xml:space="preserve">12 role × threshold combinations conforming: Viewer/Editor=non, Viewer/Approver=non, Viewer/Admin=non, Editor/Editor=oui, Editor/Approver=non, Editor/Admin=non, Approver/Editor=oui, Approver/Approver=oui, Approver/Admin=non, Admin/Editor=oui, Admin/Approver=oui, Admin/Admin=oui</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OQ-02</w:t>
            </w:r>
          </w:p>
          <w:p>
            <w:pPr>
              <w:spacing w:after="0"/>
            </w:pPr>
            <w:r>
              <w:rPr>
                <w:color w:val="475569"/>
                <w:sz w:val="15"/>
                <w:szCs w:val="15"/>
              </w:rPr>
              <w:t xml:space="preserve">URS-06</w:t>
            </w:r>
          </w:p>
        </w:tc>
        <w:tc>
          <w:tcPr>
            <w:tcW w:type="pct" w:w="30%"/>
            <w:tcMar>
              <w:top w:type="dxa" w:w="80"/>
              <w:left w:type="dxa" w:w="110"/>
              <w:bottom w:type="dxa" w:w="80"/>
              <w:right w:type="dxa" w:w="110"/>
            </w:tcMar>
          </w:tcPr>
          <w:p>
            <w:pPr>
              <w:spacing w:after="50"/>
            </w:pPr>
            <w:r>
              <w:rPr>
                <w:b/>
                <w:bCs/>
                <w:sz w:val="17"/>
                <w:szCs w:val="17"/>
              </w:rPr>
              <w:t xml:space="preserve">Password derivation and verification</w:t>
            </w:r>
          </w:p>
          <w:p>
            <w:pPr>
              <w:spacing w:after="0"/>
            </w:pPr>
            <w:r>
              <w:rPr>
                <w:color w:val="475569"/>
                <w:sz w:val="15"/>
                <w:szCs w:val="15"/>
              </w:rPr>
              <w:t xml:space="preserve">Verify that a password is never stored in clear, that the salt is unique per fingerprint, and that verification tells right from wrong.</w:t>
            </w:r>
          </w:p>
        </w:tc>
        <w:tc>
          <w:tcPr>
            <w:tcW w:type="pct" w:w="45%"/>
            <w:tcMar>
              <w:top w:type="dxa" w:w="80"/>
              <w:left w:type="dxa" w:w="110"/>
              <w:bottom w:type="dxa" w:w="80"/>
              <w:right w:type="dxa" w:w="110"/>
            </w:tcMar>
          </w:tcPr>
          <w:p>
            <w:pPr>
              <w:spacing w:after="0"/>
            </w:pPr>
            <w:r>
              <w:rPr>
                <w:sz w:val="17"/>
                <w:szCs w:val="17"/>
              </w:rPr>
              <w:t xml:space="preserve">distinct fingerprints for one same password (fe488bf36dd7… ≠ 2703706101f5…), correct verification, wrong and empty passwords refused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168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OQ-03</w:t>
            </w:r>
          </w:p>
          <w:p>
            <w:pPr>
              <w:spacing w:after="0"/>
            </w:pPr>
            <w:r>
              <w:rPr>
                <w:color w:val="475569"/>
                <w:sz w:val="15"/>
                <w:szCs w:val="15"/>
              </w:rPr>
              <w:t xml:space="preserve">URS-07</w:t>
            </w:r>
          </w:p>
        </w:tc>
        <w:tc>
          <w:tcPr>
            <w:tcW w:type="pct" w:w="30%"/>
            <w:tcMar>
              <w:top w:type="dxa" w:w="80"/>
              <w:left w:type="dxa" w:w="110"/>
              <w:bottom w:type="dxa" w:w="80"/>
              <w:right w:type="dxa" w:w="110"/>
            </w:tcMar>
          </w:tcPr>
          <w:p>
            <w:pPr>
              <w:spacing w:after="50"/>
            </w:pPr>
            <w:r>
              <w:rPr>
                <w:b/>
                <w:bCs/>
                <w:sz w:val="17"/>
                <w:szCs w:val="17"/>
              </w:rPr>
              <w:t xml:space="preserve">Content of the signature manifestation</w:t>
            </w:r>
          </w:p>
          <w:p>
            <w:pPr>
              <w:spacing w:after="0"/>
            </w:pPr>
            <w:r>
              <w:rPr>
                <w:color w:val="475569"/>
                <w:sz w:val="15"/>
                <w:szCs w:val="15"/>
              </w:rPr>
              <w:t xml:space="preserve">Verify that the string kept with the signature carries the printed name, the meaning and the UTC timestamp.</w:t>
            </w:r>
          </w:p>
        </w:tc>
        <w:tc>
          <w:tcPr>
            <w:tcW w:type="pct" w:w="45%"/>
            <w:tcMar>
              <w:top w:type="dxa" w:w="80"/>
              <w:left w:type="dxa" w:w="110"/>
              <w:bottom w:type="dxa" w:w="80"/>
              <w:right w:type="dxa" w:w="110"/>
            </w:tcMar>
          </w:tcPr>
          <w:p>
            <w:pPr>
              <w:spacing w:after="0"/>
            </w:pPr>
            <w:r>
              <w:rPr>
                <w:sz w:val="17"/>
                <w:szCs w:val="17"/>
              </w:rPr>
              <w:t xml:space="preserve">manifestation “Hélène Vasseur (HVA) · Approuvé · 04/03/2026 08:09:10 UTC”; unknown meaning rendered verbatim</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OQ-04</w:t>
            </w:r>
          </w:p>
          <w:p>
            <w:pPr>
              <w:spacing w:after="0"/>
            </w:pPr>
            <w:r>
              <w:rPr>
                <w:color w:val="475569"/>
                <w:sz w:val="15"/>
                <w:szCs w:val="15"/>
              </w:rPr>
              <w:t xml:space="preserve">URS-09</w:t>
            </w:r>
          </w:p>
        </w:tc>
        <w:tc>
          <w:tcPr>
            <w:tcW w:type="pct" w:w="30%"/>
            <w:tcMar>
              <w:top w:type="dxa" w:w="80"/>
              <w:left w:type="dxa" w:w="110"/>
              <w:bottom w:type="dxa" w:w="80"/>
              <w:right w:type="dxa" w:w="110"/>
            </w:tcMar>
          </w:tcPr>
          <w:p>
            <w:pPr>
              <w:spacing w:after="50"/>
            </w:pPr>
            <w:r>
              <w:rPr>
                <w:b/>
                <w:bCs/>
                <w:sz w:val="17"/>
                <w:szCs w:val="17"/>
              </w:rPr>
              <w:t xml:space="preserve">Content freezing on entry into review</w:t>
            </w:r>
          </w:p>
          <w:p>
            <w:pPr>
              <w:spacing w:after="0"/>
            </w:pPr>
            <w:r>
              <w:rPr>
                <w:color w:val="475569"/>
                <w:sz w:val="15"/>
                <w:szCs w:val="15"/>
              </w:rPr>
              <w:t xml:space="preserve">Verify that entering review computes the content fingerprint, keeps the file produced and logs the operation.</w:t>
            </w:r>
          </w:p>
        </w:tc>
        <w:tc>
          <w:tcPr>
            <w:tcW w:type="pct" w:w="45%"/>
            <w:tcMar>
              <w:top w:type="dxa" w:w="80"/>
              <w:left w:type="dxa" w:w="110"/>
              <w:bottom w:type="dxa" w:w="80"/>
              <w:right w:type="dxa" w:w="110"/>
            </w:tcMar>
          </w:tcPr>
          <w:p>
            <w:pPr>
              <w:spacing w:after="0"/>
            </w:pPr>
            <w:r>
              <w:rPr>
                <w:sz w:val="17"/>
                <w:szCs w:val="17"/>
              </w:rPr>
              <w:t xml:space="preserve">content frozen, fingerprint 24604eb157d7fa54…, 10487 bytes kept, operation logged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151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OQ-05</w:t>
            </w:r>
          </w:p>
          <w:p>
            <w:pPr>
              <w:spacing w:after="0"/>
            </w:pPr>
            <w:r>
              <w:rPr>
                <w:color w:val="475569"/>
                <w:sz w:val="15"/>
                <w:szCs w:val="15"/>
              </w:rPr>
              <w:t xml:space="preserve">URS-08</w:t>
            </w:r>
          </w:p>
        </w:tc>
        <w:tc>
          <w:tcPr>
            <w:tcW w:type="pct" w:w="30%"/>
            <w:tcMar>
              <w:top w:type="dxa" w:w="80"/>
              <w:left w:type="dxa" w:w="110"/>
              <w:bottom w:type="dxa" w:w="80"/>
              <w:right w:type="dxa" w:w="110"/>
            </w:tcMar>
          </w:tcPr>
          <w:p>
            <w:pPr>
              <w:spacing w:after="50"/>
            </w:pPr>
            <w:r>
              <w:rPr>
                <w:b/>
                <w:bCs/>
                <w:sz w:val="17"/>
                <w:szCs w:val="17"/>
              </w:rPr>
              <w:t xml:space="preserve">Link between the signature and the record</w:t>
            </w:r>
          </w:p>
          <w:p>
            <w:pPr>
              <w:spacing w:after="0"/>
            </w:pPr>
            <w:r>
              <w:rPr>
                <w:color w:val="475569"/>
                <w:sz w:val="15"/>
                <w:szCs w:val="15"/>
              </w:rPr>
              <w:t xml:space="preserve">Verify that the signature copies the fingerprint of the frozen content and references the matching snapshot.</w:t>
            </w:r>
          </w:p>
        </w:tc>
        <w:tc>
          <w:tcPr>
            <w:tcW w:type="pct" w:w="45%"/>
            <w:tcMar>
              <w:top w:type="dxa" w:w="80"/>
              <w:left w:type="dxa" w:w="110"/>
              <w:bottom w:type="dxa" w:w="80"/>
              <w:right w:type="dxa" w:w="110"/>
            </w:tcMar>
          </w:tcPr>
          <w:p>
            <w:pPr>
              <w:spacing w:after="0"/>
            </w:pPr>
            <w:r>
              <w:rPr>
                <w:sz w:val="17"/>
                <w:szCs w:val="17"/>
              </w:rPr>
              <w:t xml:space="preserve">signature linked to snapshot cmupfkb5…, attested fingerprint 3767 CD80 ACC9, manifestation “Testeur QA1 (QA1) · Approuvé · 01/10/2026 11:07:56 UTC · enregistrement 3767 CD80 ACC9”</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36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OQ-06</w:t>
            </w:r>
          </w:p>
          <w:p>
            <w:pPr>
              <w:spacing w:after="0"/>
            </w:pPr>
            <w:r>
              <w:rPr>
                <w:color w:val="475569"/>
                <w:sz w:val="15"/>
                <w:szCs w:val="15"/>
              </w:rPr>
              <w:t xml:space="preserve">URS-10</w:t>
            </w:r>
          </w:p>
        </w:tc>
        <w:tc>
          <w:tcPr>
            <w:tcW w:type="pct" w:w="30%"/>
            <w:tcMar>
              <w:top w:type="dxa" w:w="80"/>
              <w:left w:type="dxa" w:w="110"/>
              <w:bottom w:type="dxa" w:w="80"/>
              <w:right w:type="dxa" w:w="110"/>
            </w:tcMar>
          </w:tcPr>
          <w:p>
            <w:pPr>
              <w:spacing w:after="50"/>
            </w:pPr>
            <w:r>
              <w:rPr>
                <w:b/>
                <w:bCs/>
                <w:sz w:val="17"/>
                <w:szCs w:val="17"/>
              </w:rPr>
              <w:t xml:space="preserve">Exact copy served, and tamper detection</w:t>
            </w:r>
          </w:p>
          <w:p>
            <w:pPr>
              <w:spacing w:after="0"/>
            </w:pPr>
            <w:r>
              <w:rPr>
                <w:color w:val="475569"/>
                <w:sz w:val="15"/>
                <w:szCs w:val="15"/>
              </w:rPr>
              <w:t xml:space="preserve">Verify that the bytes re-read are the ones kept, and that an alteration on disk is detected instead of served.</w:t>
            </w:r>
          </w:p>
        </w:tc>
        <w:tc>
          <w:tcPr>
            <w:tcW w:type="pct" w:w="45%"/>
            <w:tcMar>
              <w:top w:type="dxa" w:w="80"/>
              <w:left w:type="dxa" w:w="110"/>
              <w:bottom w:type="dxa" w:w="80"/>
              <w:right w:type="dxa" w:w="110"/>
            </w:tcMar>
          </w:tcPr>
          <w:p>
            <w:pPr>
              <w:spacing w:after="0"/>
            </w:pPr>
            <w:r>
              <w:rPr>
                <w:sz w:val="17"/>
                <w:szCs w:val="17"/>
              </w:rPr>
              <w:t xml:space="preserve">10489 bytes re-read identically; one byte flipped at position 5244 detected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36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OQ-07</w:t>
            </w:r>
          </w:p>
          <w:p>
            <w:pPr>
              <w:spacing w:after="0"/>
            </w:pPr>
            <w:r>
              <w:rPr>
                <w:color w:val="475569"/>
                <w:sz w:val="15"/>
                <w:szCs w:val="15"/>
              </w:rPr>
              <w:t xml:space="preserve">URS-11</w:t>
            </w:r>
          </w:p>
        </w:tc>
        <w:tc>
          <w:tcPr>
            <w:tcW w:type="pct" w:w="30%"/>
            <w:tcMar>
              <w:top w:type="dxa" w:w="80"/>
              <w:left w:type="dxa" w:w="110"/>
              <w:bottom w:type="dxa" w:w="80"/>
              <w:right w:type="dxa" w:w="110"/>
            </w:tcMar>
          </w:tcPr>
          <w:p>
            <w:pPr>
              <w:spacing w:after="50"/>
            </w:pPr>
            <w:r>
              <w:rPr>
                <w:b/>
                <w:bCs/>
                <w:sz w:val="17"/>
                <w:szCs w:val="17"/>
              </w:rPr>
              <w:t xml:space="preserve">Release refused after content drift</w:t>
            </w:r>
          </w:p>
          <w:p>
            <w:pPr>
              <w:spacing w:after="0"/>
            </w:pPr>
            <w:r>
              <w:rPr>
                <w:color w:val="475569"/>
                <w:sz w:val="15"/>
                <w:szCs w:val="15"/>
              </w:rPr>
              <w:t xml:space="preserve">Verify that content modified after the freeze prevents release and that the discrepancy is logged.</w:t>
            </w:r>
          </w:p>
        </w:tc>
        <w:tc>
          <w:tcPr>
            <w:tcW w:type="pct" w:w="45%"/>
            <w:tcMar>
              <w:top w:type="dxa" w:w="80"/>
              <w:left w:type="dxa" w:w="110"/>
              <w:bottom w:type="dxa" w:w="80"/>
              <w:right w:type="dxa" w:w="110"/>
            </w:tcMar>
          </w:tcPr>
          <w:p>
            <w:pPr>
              <w:spacing w:after="0"/>
            </w:pPr>
            <w:r>
              <w:rPr>
                <w:sz w:val="17"/>
                <w:szCs w:val="17"/>
              </w:rPr>
              <w:t xml:space="preserve">release refused (reason “derive”), document kept in review, refusal logged with both fingerprints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38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OQ-08</w:t>
            </w:r>
          </w:p>
          <w:p>
            <w:pPr>
              <w:spacing w:after="0"/>
            </w:pPr>
            <w:r>
              <w:rPr>
                <w:color w:val="475569"/>
                <w:sz w:val="15"/>
                <w:szCs w:val="15"/>
              </w:rPr>
              <w:t xml:space="preserve">URS-12</w:t>
            </w:r>
          </w:p>
        </w:tc>
        <w:tc>
          <w:tcPr>
            <w:tcW w:type="pct" w:w="30%"/>
            <w:tcMar>
              <w:top w:type="dxa" w:w="80"/>
              <w:left w:type="dxa" w:w="110"/>
              <w:bottom w:type="dxa" w:w="80"/>
              <w:right w:type="dxa" w:w="110"/>
            </w:tcMar>
          </w:tcPr>
          <w:p>
            <w:pPr>
              <w:spacing w:after="50"/>
            </w:pPr>
            <w:r>
              <w:rPr>
                <w:b/>
                <w:bCs/>
                <w:sz w:val="17"/>
                <w:szCs w:val="17"/>
              </w:rPr>
              <w:t xml:space="preserve">Signatures invalidated when content is reopened</w:t>
            </w:r>
          </w:p>
          <w:p>
            <w:pPr>
              <w:spacing w:after="0"/>
            </w:pPr>
            <w:r>
              <w:rPr>
                <w:color w:val="475569"/>
                <w:sz w:val="15"/>
                <w:szCs w:val="15"/>
              </w:rPr>
              <w:t xml:space="preserve">Verify that a return to draft clears everything that described a signing act.</w:t>
            </w:r>
          </w:p>
        </w:tc>
        <w:tc>
          <w:tcPr>
            <w:tcW w:type="pct" w:w="45%"/>
            <w:tcMar>
              <w:top w:type="dxa" w:w="80"/>
              <w:left w:type="dxa" w:w="110"/>
              <w:bottom w:type="dxa" w:w="80"/>
              <w:right w:type="dxa" w:w="110"/>
            </w:tcMar>
          </w:tcPr>
          <w:p>
            <w:pPr>
              <w:spacing w:after="0"/>
            </w:pPr>
            <w:r>
              <w:rPr>
                <w:sz w:val="17"/>
                <w:szCs w:val="17"/>
              </w:rPr>
              <w:t xml:space="preserve">the six fields describing the signature are cleared, and the freeze ceases to be in force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OQ-09</w:t>
            </w:r>
          </w:p>
          <w:p>
            <w:pPr>
              <w:spacing w:after="0"/>
            </w:pPr>
            <w:r>
              <w:rPr>
                <w:color w:val="475569"/>
                <w:sz w:val="15"/>
                <w:szCs w:val="15"/>
              </w:rPr>
              <w:t xml:space="preserve">URS-13</w:t>
            </w:r>
          </w:p>
        </w:tc>
        <w:tc>
          <w:tcPr>
            <w:tcW w:type="pct" w:w="30%"/>
            <w:tcMar>
              <w:top w:type="dxa" w:w="80"/>
              <w:left w:type="dxa" w:w="110"/>
              <w:bottom w:type="dxa" w:w="80"/>
              <w:right w:type="dxa" w:w="110"/>
            </w:tcMar>
          </w:tcPr>
          <w:p>
            <w:pPr>
              <w:spacing w:after="50"/>
            </w:pPr>
            <w:r>
              <w:rPr>
                <w:b/>
                <w:bCs/>
                <w:sz w:val="17"/>
                <w:szCs w:val="17"/>
              </w:rPr>
              <w:t xml:space="preserve">Release locks</w:t>
            </w:r>
          </w:p>
          <w:p>
            <w:pPr>
              <w:spacing w:after="0"/>
            </w:pPr>
            <w:r>
              <w:rPr>
                <w:color w:val="475569"/>
                <w:sz w:val="15"/>
                <w:szCs w:val="15"/>
              </w:rPr>
              <w:t xml:space="preserve">Verify that a document can be released neither without a signature applied, nor with an open review thread.</w:t>
            </w:r>
          </w:p>
        </w:tc>
        <w:tc>
          <w:tcPr>
            <w:tcW w:type="pct" w:w="45%"/>
            <w:tcMar>
              <w:top w:type="dxa" w:w="80"/>
              <w:left w:type="dxa" w:w="110"/>
              <w:bottom w:type="dxa" w:w="80"/>
              <w:right w:type="dxa" w:w="110"/>
            </w:tcMar>
          </w:tcPr>
          <w:p>
            <w:pPr>
              <w:spacing w:after="0"/>
            </w:pPr>
            <w:r>
              <w:rPr>
                <w:sz w:val="17"/>
                <w:szCs w:val="17"/>
              </w:rPr>
              <w:t xml:space="preserve">refused with no signature, refused with an open thread, accepted once both locks are lifted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74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OQ-10</w:t>
            </w:r>
          </w:p>
          <w:p>
            <w:pPr>
              <w:spacing w:after="0"/>
            </w:pPr>
            <w:r>
              <w:rPr>
                <w:color w:val="475569"/>
                <w:sz w:val="15"/>
                <w:szCs w:val="15"/>
              </w:rPr>
              <w:t xml:space="preserve">URS-14</w:t>
            </w:r>
          </w:p>
        </w:tc>
        <w:tc>
          <w:tcPr>
            <w:tcW w:type="pct" w:w="30%"/>
            <w:tcMar>
              <w:top w:type="dxa" w:w="80"/>
              <w:left w:type="dxa" w:w="110"/>
              <w:bottom w:type="dxa" w:w="80"/>
              <w:right w:type="dxa" w:w="110"/>
            </w:tcMar>
          </w:tcPr>
          <w:p>
            <w:pPr>
              <w:spacing w:after="50"/>
            </w:pPr>
            <w:r>
              <w:rPr>
                <w:b/>
                <w:bCs/>
                <w:sz w:val="17"/>
                <w:szCs w:val="17"/>
              </w:rPr>
              <w:t xml:space="preserve">Superseded freezes are kept</w:t>
            </w:r>
          </w:p>
          <w:p>
            <w:pPr>
              <w:spacing w:after="0"/>
            </w:pPr>
            <w:r>
              <w:rPr>
                <w:color w:val="475569"/>
                <w:sz w:val="15"/>
                <w:szCs w:val="15"/>
              </w:rPr>
              <w:t xml:space="preserve">Verify that a replaced freeze stays in the database and that its file remains readable.</w:t>
            </w:r>
          </w:p>
        </w:tc>
        <w:tc>
          <w:tcPr>
            <w:tcW w:type="pct" w:w="45%"/>
            <w:tcMar>
              <w:top w:type="dxa" w:w="80"/>
              <w:left w:type="dxa" w:w="110"/>
              <w:bottom w:type="dxa" w:w="80"/>
              <w:right w:type="dxa" w:w="110"/>
            </w:tcMar>
          </w:tcPr>
          <w:p>
            <w:pPr>
              <w:spacing w:after="0"/>
            </w:pPr>
            <w:r>
              <w:rPr>
                <w:sz w:val="17"/>
                <w:szCs w:val="17"/>
              </w:rPr>
              <w:t xml:space="preserve">2 snapshots kept: the review freeze stays readable (10496 B, superseded), the approved record carries the same content fingerprint</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85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OQ-11</w:t>
            </w:r>
          </w:p>
          <w:p>
            <w:pPr>
              <w:spacing w:after="0"/>
            </w:pPr>
            <w:r>
              <w:rPr>
                <w:color w:val="475569"/>
                <w:sz w:val="15"/>
                <w:szCs w:val="15"/>
              </w:rPr>
              <w:t xml:space="preserve">URS-03</w:t>
            </w:r>
          </w:p>
        </w:tc>
        <w:tc>
          <w:tcPr>
            <w:tcW w:type="pct" w:w="30%"/>
            <w:tcMar>
              <w:top w:type="dxa" w:w="80"/>
              <w:left w:type="dxa" w:w="110"/>
              <w:bottom w:type="dxa" w:w="80"/>
              <w:right w:type="dxa" w:w="110"/>
            </w:tcMar>
          </w:tcPr>
          <w:p>
            <w:pPr>
              <w:spacing w:after="50"/>
            </w:pPr>
            <w:r>
              <w:rPr>
                <w:b/>
                <w:bCs/>
                <w:sz w:val="17"/>
                <w:szCs w:val="17"/>
              </w:rPr>
              <w:t xml:space="preserve">Traceability of lifecycle operations</w:t>
            </w:r>
          </w:p>
          <w:p>
            <w:pPr>
              <w:spacing w:after="0"/>
            </w:pPr>
            <w:r>
              <w:rPr>
                <w:color w:val="475569"/>
                <w:sz w:val="15"/>
                <w:szCs w:val="15"/>
              </w:rPr>
              <w:t xml:space="preserve">Verify that every operation produces an attributed and timestamped audit entry.</w:t>
            </w:r>
          </w:p>
        </w:tc>
        <w:tc>
          <w:tcPr>
            <w:tcW w:type="pct" w:w="45%"/>
            <w:tcMar>
              <w:top w:type="dxa" w:w="80"/>
              <w:left w:type="dxa" w:w="110"/>
              <w:bottom w:type="dxa" w:w="80"/>
              <w:right w:type="dxa" w:w="110"/>
            </w:tcMar>
          </w:tcPr>
          <w:p>
            <w:pPr>
              <w:spacing w:after="0"/>
            </w:pPr>
            <w:r>
              <w:rPr>
                <w:sz w:val="17"/>
                <w:szCs w:val="17"/>
              </w:rPr>
              <w:t xml:space="preserve">5 entries produced by the cycle, all attributed and timestamped; actions covered: create, statusChange, sign</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73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OQ-12</w:t>
            </w:r>
          </w:p>
          <w:p>
            <w:pPr>
              <w:spacing w:after="0"/>
            </w:pPr>
            <w:r>
              <w:rPr>
                <w:color w:val="475569"/>
                <w:sz w:val="15"/>
                <w:szCs w:val="15"/>
              </w:rPr>
              <w:t xml:space="preserve">URS-04</w:t>
            </w:r>
          </w:p>
        </w:tc>
        <w:tc>
          <w:tcPr>
            <w:tcW w:type="pct" w:w="30%"/>
            <w:tcMar>
              <w:top w:type="dxa" w:w="80"/>
              <w:left w:type="dxa" w:w="110"/>
              <w:bottom w:type="dxa" w:w="80"/>
              <w:right w:type="dxa" w:w="110"/>
            </w:tcMar>
          </w:tcPr>
          <w:p>
            <w:pPr>
              <w:spacing w:after="50"/>
            </w:pPr>
            <w:r>
              <w:rPr>
                <w:b/>
                <w:bCs/>
                <w:sz w:val="17"/>
                <w:szCs w:val="17"/>
              </w:rPr>
              <w:t xml:space="preserve">Append-only audit trail</w:t>
            </w:r>
          </w:p>
          <w:p>
            <w:pPr>
              <w:spacing w:after="0"/>
            </w:pPr>
            <w:r>
              <w:rPr>
                <w:color w:val="475569"/>
                <w:sz w:val="15"/>
                <w:szCs w:val="15"/>
              </w:rPr>
              <w:t xml:space="preserve">Verify by source inspection that no function of the application modifies or deletes an audit-trail entry.</w:t>
            </w:r>
          </w:p>
        </w:tc>
        <w:tc>
          <w:tcPr>
            <w:tcW w:type="pct" w:w="45%"/>
            <w:tcMar>
              <w:top w:type="dxa" w:w="80"/>
              <w:left w:type="dxa" w:w="110"/>
              <w:bottom w:type="dxa" w:w="80"/>
              <w:right w:type="dxa" w:w="110"/>
            </w:tcMar>
          </w:tcPr>
          <w:p>
            <w:pPr>
              <w:spacing w:after="0"/>
            </w:pPr>
            <w:r>
              <w:rPr>
                <w:sz w:val="17"/>
                <w:szCs w:val="17"/>
              </w:rPr>
              <w:t xml:space="preserve">174 source files inspected: no modification or deletion of an entry; 1 files in append-only mode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OQ-13</w:t>
            </w:r>
          </w:p>
          <w:p>
            <w:pPr>
              <w:spacing w:after="0"/>
            </w:pPr>
            <w:r>
              <w:rPr>
                <w:color w:val="475569"/>
                <w:sz w:val="15"/>
                <w:szCs w:val="15"/>
              </w:rPr>
              <w:t xml:space="preserve">URS-18</w:t>
            </w:r>
          </w:p>
        </w:tc>
        <w:tc>
          <w:tcPr>
            <w:tcW w:type="pct" w:w="30%"/>
            <w:tcMar>
              <w:top w:type="dxa" w:w="80"/>
              <w:left w:type="dxa" w:w="110"/>
              <w:bottom w:type="dxa" w:w="80"/>
              <w:right w:type="dxa" w:w="110"/>
            </w:tcMar>
          </w:tcPr>
          <w:p>
            <w:pPr>
              <w:spacing w:after="50"/>
            </w:pPr>
            <w:r>
              <w:rPr>
                <w:b/>
                <w:bCs/>
                <w:sz w:val="17"/>
                <w:szCs w:val="17"/>
              </w:rPr>
              <w:t xml:space="preserve">Determinism and sensitivity of the content fingerprint</w:t>
            </w:r>
          </w:p>
          <w:p>
            <w:pPr>
              <w:spacing w:after="0"/>
            </w:pPr>
            <w:r>
              <w:rPr>
                <w:color w:val="475569"/>
                <w:sz w:val="15"/>
                <w:szCs w:val="15"/>
              </w:rPr>
              <w:t xml:space="preserve">Verify that the same projection always yields the same fingerprint, and that any change of content changes it.</w:t>
            </w:r>
          </w:p>
        </w:tc>
        <w:tc>
          <w:tcPr>
            <w:tcW w:type="pct" w:w="45%"/>
            <w:tcMar>
              <w:top w:type="dxa" w:w="80"/>
              <w:left w:type="dxa" w:w="110"/>
              <w:bottom w:type="dxa" w:w="80"/>
              <w:right w:type="dxa" w:w="110"/>
            </w:tcMar>
          </w:tcPr>
          <w:p>
            <w:pPr>
              <w:spacing w:after="0"/>
            </w:pPr>
            <w:r>
              <w:rPr>
                <w:sz w:val="17"/>
                <w:szCs w:val="17"/>
              </w:rPr>
              <w:t xml:space="preserve">stable over two computations (1a94a44d4ddf08ce…), changed by a criticality change (a05e9c9317f58803…), back to identical after revert</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OQ-14</w:t>
            </w:r>
          </w:p>
          <w:p>
            <w:pPr>
              <w:spacing w:after="0"/>
            </w:pPr>
            <w:r>
              <w:rPr>
                <w:color w:val="475569"/>
                <w:sz w:val="15"/>
                <w:szCs w:val="15"/>
              </w:rPr>
              <w:t xml:space="preserve">URS-16</w:t>
            </w:r>
          </w:p>
        </w:tc>
        <w:tc>
          <w:tcPr>
            <w:tcW w:type="pct" w:w="30%"/>
            <w:tcMar>
              <w:top w:type="dxa" w:w="80"/>
              <w:left w:type="dxa" w:w="110"/>
              <w:bottom w:type="dxa" w:w="80"/>
              <w:right w:type="dxa" w:w="110"/>
            </w:tcMar>
          </w:tcPr>
          <w:p>
            <w:pPr>
              <w:spacing w:after="50"/>
            </w:pPr>
            <w:r>
              <w:rPr>
                <w:b/>
                <w:bCs/>
                <w:sz w:val="17"/>
                <w:szCs w:val="17"/>
              </w:rPr>
              <w:t xml:space="preserve">Neutralisation of control characters</w:t>
            </w:r>
          </w:p>
          <w:p>
            <w:pPr>
              <w:spacing w:after="0"/>
            </w:pPr>
            <w:r>
              <w:rPr>
                <w:color w:val="475569"/>
                <w:sz w:val="15"/>
                <w:szCs w:val="15"/>
              </w:rPr>
              <w:t xml:space="preserve">Verify that characters forbidden by XML 1.0 are stripped on entry, without altering the useful text.</w:t>
            </w:r>
          </w:p>
        </w:tc>
        <w:tc>
          <w:tcPr>
            <w:tcW w:type="pct" w:w="45%"/>
            <w:tcMar>
              <w:top w:type="dxa" w:w="80"/>
              <w:left w:type="dxa" w:w="110"/>
              <w:bottom w:type="dxa" w:w="80"/>
              <w:right w:type="dxa" w:w="110"/>
            </w:tcMar>
          </w:tcPr>
          <w:p>
            <w:pPr>
              <w:spacing w:after="0"/>
            </w:pPr>
            <w:r>
              <w:rPr>
                <w:sz w:val="17"/>
                <w:szCs w:val="17"/>
              </w:rPr>
              <w:t xml:space="preserve">control characters removed, vertical breaks converted, accented text preserved: “Exigence valide⏎ avec saut et contrôle”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OQ-15</w:t>
            </w:r>
          </w:p>
          <w:p>
            <w:pPr>
              <w:spacing w:after="0"/>
            </w:pPr>
            <w:r>
              <w:rPr>
                <w:color w:val="475569"/>
                <w:sz w:val="15"/>
                <w:szCs w:val="15"/>
              </w:rPr>
              <w:t xml:space="preserve">URS-17</w:t>
            </w:r>
          </w:p>
        </w:tc>
        <w:tc>
          <w:tcPr>
            <w:tcW w:type="pct" w:w="30%"/>
            <w:tcMar>
              <w:top w:type="dxa" w:w="80"/>
              <w:left w:type="dxa" w:w="110"/>
              <w:bottom w:type="dxa" w:w="80"/>
              <w:right w:type="dxa" w:w="110"/>
            </w:tcMar>
          </w:tcPr>
          <w:p>
            <w:pPr>
              <w:spacing w:after="50"/>
            </w:pPr>
            <w:r>
              <w:rPr>
                <w:b/>
                <w:bCs/>
                <w:sz w:val="17"/>
                <w:szCs w:val="17"/>
              </w:rPr>
              <w:t xml:space="preserve">Robustness of tab-separated file migration</w:t>
            </w:r>
          </w:p>
          <w:p>
            <w:pPr>
              <w:spacing w:after="0"/>
            </w:pPr>
            <w:r>
              <w:rPr>
                <w:color w:val="475569"/>
                <w:sz w:val="15"/>
                <w:szCs w:val="15"/>
              </w:rPr>
              <w:t xml:space="preserve">Verify that multi-line cells between quotes are preserved and that formula prefixes are neutralised.</w:t>
            </w:r>
          </w:p>
        </w:tc>
        <w:tc>
          <w:tcPr>
            <w:tcW w:type="pct" w:w="45%"/>
            <w:tcMar>
              <w:top w:type="dxa" w:w="80"/>
              <w:left w:type="dxa" w:w="110"/>
              <w:bottom w:type="dxa" w:w="80"/>
              <w:right w:type="dxa" w:w="110"/>
            </w:tcMar>
          </w:tcPr>
          <w:p>
            <w:pPr>
              <w:spacing w:after="0"/>
            </w:pPr>
            <w:r>
              <w:rPr>
                <w:sz w:val="17"/>
                <w:szCs w:val="17"/>
              </w:rPr>
              <w:t xml:space="preserve">multi-line cell preserved, physical line numbering correct (line 4), four formula prefixes neutralised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OQ-16</w:t>
            </w:r>
          </w:p>
          <w:p>
            <w:pPr>
              <w:spacing w:after="0"/>
            </w:pPr>
            <w:r>
              <w:rPr>
                <w:color w:val="475569"/>
                <w:sz w:val="15"/>
                <w:szCs w:val="15"/>
              </w:rPr>
              <w:t xml:space="preserve">URS-15</w:t>
            </w:r>
          </w:p>
        </w:tc>
        <w:tc>
          <w:tcPr>
            <w:tcW w:type="pct" w:w="30%"/>
            <w:tcMar>
              <w:top w:type="dxa" w:w="80"/>
              <w:left w:type="dxa" w:w="110"/>
              <w:bottom w:type="dxa" w:w="80"/>
              <w:right w:type="dxa" w:w="110"/>
            </w:tcMar>
          </w:tcPr>
          <w:p>
            <w:pPr>
              <w:spacing w:after="50"/>
            </w:pPr>
            <w:r>
              <w:rPr>
                <w:b/>
                <w:bCs/>
                <w:sz w:val="17"/>
                <w:szCs w:val="17"/>
              </w:rPr>
              <w:t xml:space="preserve">Analytical performance engine — CLSI protocol vectors</w:t>
            </w:r>
          </w:p>
          <w:p>
            <w:pPr>
              <w:spacing w:after="0"/>
            </w:pPr>
            <w:r>
              <w:rPr>
                <w:color w:val="475569"/>
                <w:sz w:val="15"/>
                <w:szCs w:val="15"/>
              </w:rPr>
              <w:t xml:space="preserve">Replay the suite of test vectors taken from the worked examples of protocols EP05, EP06, EP09, EP17, EP25 and EP26.</w:t>
            </w:r>
          </w:p>
        </w:tc>
        <w:tc>
          <w:tcPr>
            <w:tcW w:type="pct" w:w="45%"/>
            <w:tcMar>
              <w:top w:type="dxa" w:w="80"/>
              <w:left w:type="dxa" w:w="110"/>
              <w:bottom w:type="dxa" w:w="80"/>
              <w:right w:type="dxa" w:w="110"/>
            </w:tcMar>
          </w:tcPr>
          <w:p>
            <w:pPr>
              <w:spacing w:after="0"/>
            </w:pPr>
            <w:r>
              <w:rPr>
                <w:sz w:val="17"/>
                <w:szCs w:val="17"/>
              </w:rPr>
              <w:t xml:space="preserve">66 vectors matching the worked examples, 0 deviation — protocols EP05, EP06, EP09, EP17, EP25, EP26</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350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OQ-17</w:t>
            </w:r>
          </w:p>
          <w:p>
            <w:pPr>
              <w:spacing w:after="0"/>
            </w:pPr>
            <w:r>
              <w:rPr>
                <w:color w:val="475569"/>
                <w:sz w:val="15"/>
                <w:szCs w:val="15"/>
              </w:rPr>
              <w:t xml:space="preserve">URS-21</w:t>
            </w:r>
          </w:p>
        </w:tc>
        <w:tc>
          <w:tcPr>
            <w:tcW w:type="pct" w:w="30%"/>
            <w:tcMar>
              <w:top w:type="dxa" w:w="80"/>
              <w:left w:type="dxa" w:w="110"/>
              <w:bottom w:type="dxa" w:w="80"/>
              <w:right w:type="dxa" w:w="110"/>
            </w:tcMar>
          </w:tcPr>
          <w:p>
            <w:pPr>
              <w:spacing w:after="50"/>
            </w:pPr>
            <w:r>
              <w:rPr>
                <w:b/>
                <w:bCs/>
                <w:sz w:val="17"/>
                <w:szCs w:val="17"/>
              </w:rPr>
              <w:t xml:space="preserve">Inspection archive — exact bytes, verifiable fingerprints, alteration flagged</w:t>
            </w:r>
          </w:p>
          <w:p>
            <w:pPr>
              <w:spacing w:after="0"/>
            </w:pPr>
            <w:r>
              <w:rPr>
                <w:color w:val="475569"/>
                <w:sz w:val="15"/>
                <w:szCs w:val="15"/>
              </w:rPr>
              <w:t xml:space="preserve">Verify that the archive returns the frozen bytes themselves, that its fingerprint list describes its content exactly, and that a record altered on disk is flagged there instead of being presented as intact.</w:t>
            </w:r>
          </w:p>
        </w:tc>
        <w:tc>
          <w:tcPr>
            <w:tcW w:type="pct" w:w="45%"/>
            <w:tcMar>
              <w:top w:type="dxa" w:w="80"/>
              <w:left w:type="dxa" w:w="110"/>
              <w:bottom w:type="dxa" w:w="80"/>
              <w:right w:type="dxa" w:w="110"/>
            </w:tcMar>
          </w:tcPr>
          <w:p>
            <w:pPr>
              <w:spacing w:after="0"/>
            </w:pPr>
            <w:r>
              <w:rPr>
                <w:sz w:val="17"/>
                <w:szCs w:val="17"/>
              </w:rPr>
              <w:t xml:space="preserve">13 record(s) archived, 43 file(s) covered by empreintes.sha256, 0 deviation; anchor 28a1272f2d5d0253…; frozen bytes returned identically; one byte altered, detected and flagged ALTERED, file kept inside the archive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475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OQ-18</w:t>
            </w:r>
          </w:p>
          <w:p>
            <w:pPr>
              <w:spacing w:after="0"/>
            </w:pPr>
            <w:r>
              <w:rPr>
                <w:color w:val="475569"/>
                <w:sz w:val="15"/>
                <w:szCs w:val="15"/>
              </w:rPr>
              <w:t xml:space="preserve">URS-22</w:t>
            </w:r>
          </w:p>
        </w:tc>
        <w:tc>
          <w:tcPr>
            <w:tcW w:type="pct" w:w="30%"/>
            <w:tcMar>
              <w:top w:type="dxa" w:w="80"/>
              <w:left w:type="dxa" w:w="110"/>
              <w:bottom w:type="dxa" w:w="80"/>
              <w:right w:type="dxa" w:w="110"/>
            </w:tcMar>
          </w:tcPr>
          <w:p>
            <w:pPr>
              <w:spacing w:after="50"/>
            </w:pPr>
            <w:r>
              <w:rPr>
                <w:b/>
                <w:bCs/>
                <w:sz w:val="17"/>
                <w:szCs w:val="17"/>
              </w:rPr>
              <w:t xml:space="preserve">Legal hold — placing, locking, lifting, mandatory reasons</w:t>
            </w:r>
          </w:p>
          <w:p>
            <w:pPr>
              <w:spacing w:after="0"/>
            </w:pPr>
            <w:r>
              <w:rPr>
                <w:color w:val="475569"/>
                <w:sz w:val="15"/>
                <w:szCs w:val="15"/>
              </w:rPr>
              <w:t xml:space="preserve">Verify that a legal hold actually blocks deletion, that it requires a reason both when placed and when lifted, and that both acts are logged.</w:t>
            </w:r>
          </w:p>
        </w:tc>
        <w:tc>
          <w:tcPr>
            <w:tcW w:type="pct" w:w="45%"/>
            <w:tcMar>
              <w:top w:type="dxa" w:w="80"/>
              <w:left w:type="dxa" w:w="110"/>
              <w:bottom w:type="dxa" w:w="80"/>
              <w:right w:type="dxa" w:w="110"/>
            </w:tcMar>
          </w:tcPr>
          <w:p>
            <w:pPr>
              <w:spacing w:after="0"/>
            </w:pPr>
            <w:r>
              <w:rPr>
                <w:sz w:val="17"/>
                <w:szCs w:val="17"/>
              </w:rPr>
              <w:t xml:space="preserve">placing without a reason refused, second placing refused, lifting without a reason refused; blocking effective during the hold, released afterwards; 2 audit entr(ies) distinguishing PLACED and LIFTED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OQ-19</w:t>
            </w:r>
          </w:p>
          <w:p>
            <w:pPr>
              <w:spacing w:after="0"/>
            </w:pPr>
            <w:r>
              <w:rPr>
                <w:color w:val="475569"/>
                <w:sz w:val="15"/>
                <w:szCs w:val="15"/>
              </w:rPr>
              <w:t xml:space="preserve">URS-23</w:t>
            </w:r>
          </w:p>
        </w:tc>
        <w:tc>
          <w:tcPr>
            <w:tcW w:type="pct" w:w="30%"/>
            <w:tcMar>
              <w:top w:type="dxa" w:w="80"/>
              <w:left w:type="dxa" w:w="110"/>
              <w:bottom w:type="dxa" w:w="80"/>
              <w:right w:type="dxa" w:w="110"/>
            </w:tcMar>
          </w:tcPr>
          <w:p>
            <w:pPr>
              <w:spacing w:after="50"/>
            </w:pPr>
            <w:r>
              <w:rPr>
                <w:b/>
                <w:bCs/>
                <w:sz w:val="17"/>
                <w:szCs w:val="17"/>
              </w:rPr>
              <w:t xml:space="preserve">Retention period declared and carried as a due date</w:t>
            </w:r>
          </w:p>
          <w:p>
            <w:pPr>
              <w:spacing w:after="0"/>
            </w:pPr>
            <w:r>
              <w:rPr>
                <w:color w:val="475569"/>
                <w:sz w:val="15"/>
                <w:szCs w:val="15"/>
              </w:rPr>
              <w:t xml:space="preserve">Verify that the declared period produces a due date per record in the archive, and that in its absence the archive says so instead of inventing a value.</w:t>
            </w:r>
          </w:p>
        </w:tc>
        <w:tc>
          <w:tcPr>
            <w:tcW w:type="pct" w:w="45%"/>
            <w:tcMar>
              <w:top w:type="dxa" w:w="80"/>
              <w:left w:type="dxa" w:w="110"/>
              <w:bottom w:type="dxa" w:w="80"/>
              <w:right w:type="dxa" w:w="110"/>
            </w:tcMar>
          </w:tcPr>
          <w:p>
            <w:pPr>
              <w:spacing w:after="0"/>
            </w:pPr>
            <w:r>
              <w:rPr>
                <w:sz w:val="17"/>
                <w:szCs w:val="17"/>
              </w:rPr>
              <w:t xml:space="preserve">undeclared period announced as such; four invalid values refused (0, -1, 101, 7.5); 10 years declared → due date 2036-10-01 carried by the manifest, procedure QP-014 rev. B cited in the cover letter</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428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OQ-20</w:t>
            </w:r>
          </w:p>
          <w:p>
            <w:pPr>
              <w:spacing w:after="0"/>
            </w:pPr>
            <w:r>
              <w:rPr>
                <w:color w:val="475569"/>
                <w:sz w:val="15"/>
                <w:szCs w:val="15"/>
              </w:rPr>
              <w:t xml:space="preserve">URS-24</w:t>
            </w:r>
          </w:p>
        </w:tc>
        <w:tc>
          <w:tcPr>
            <w:tcW w:type="pct" w:w="30%"/>
            <w:tcMar>
              <w:top w:type="dxa" w:w="80"/>
              <w:left w:type="dxa" w:w="110"/>
              <w:bottom w:type="dxa" w:w="80"/>
              <w:right w:type="dxa" w:w="110"/>
            </w:tcMar>
          </w:tcPr>
          <w:p>
            <w:pPr>
              <w:spacing w:after="50"/>
            </w:pPr>
            <w:r>
              <w:rPr>
                <w:b/>
                <w:bCs/>
                <w:sz w:val="17"/>
                <w:szCs w:val="17"/>
              </w:rPr>
              <w:t xml:space="preserve">The signature ↔ record link survives the next revision</w:t>
            </w:r>
          </w:p>
          <w:p>
            <w:pPr>
              <w:spacing w:after="0"/>
            </w:pPr>
            <w:r>
              <w:rPr>
                <w:color w:val="475569"/>
                <w:sz w:val="15"/>
                <w:szCs w:val="15"/>
              </w:rPr>
              <w:t xml:space="preserve">Release a revision, open a new one, and verify that the approval of the released revision keeps its signer, its timestamp, the signed snapshot and the fingerprint of the attested content.</w:t>
            </w:r>
          </w:p>
        </w:tc>
        <w:tc>
          <w:tcPr>
            <w:tcW w:type="pct" w:w="45%"/>
            <w:tcMar>
              <w:top w:type="dxa" w:w="80"/>
              <w:left w:type="dxa" w:w="110"/>
              <w:bottom w:type="dxa" w:w="80"/>
              <w:right w:type="dxa" w:w="110"/>
            </w:tcMar>
          </w:tcPr>
          <w:p>
            <w:pPr>
              <w:spacing w:after="0"/>
            </w:pPr>
            <w:r>
              <w:rPr>
                <w:sz w:val="17"/>
                <w:szCs w:val="17"/>
              </w:rPr>
              <w:t xml:space="preserve">rev. 001 signature intact after opening rev. 002 (timestamp, printed name, manifestation, method, fingerprint 616af660a3d9a89d…, designated snapshot); round 001 marked superseded; new round 002 created for the same signer, unsigned; signing a superseded row refused; 2 record(s) of rev. 001 in the manifest, attached by a direct database link; 12 document(s) checked: no approval in force on another revision</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330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OQ-21</w:t>
            </w:r>
          </w:p>
          <w:p>
            <w:pPr>
              <w:spacing w:after="0"/>
            </w:pPr>
            <w:r>
              <w:rPr>
                <w:color w:val="475569"/>
                <w:sz w:val="15"/>
                <w:szCs w:val="15"/>
              </w:rPr>
              <w:t xml:space="preserve">URS-25</w:t>
            </w:r>
          </w:p>
        </w:tc>
        <w:tc>
          <w:tcPr>
            <w:tcW w:type="pct" w:w="30%"/>
            <w:tcMar>
              <w:top w:type="dxa" w:w="80"/>
              <w:left w:type="dxa" w:w="110"/>
              <w:bottom w:type="dxa" w:w="80"/>
              <w:right w:type="dxa" w:w="110"/>
            </w:tcMar>
          </w:tcPr>
          <w:p>
            <w:pPr>
              <w:spacing w:after="50"/>
            </w:pPr>
            <w:r>
              <w:rPr>
                <w:b/>
                <w:bCs/>
                <w:sz w:val="17"/>
                <w:szCs w:val="17"/>
              </w:rPr>
              <w:t xml:space="preserve">RFC 3161 timestamping — encoding, decoding, and refusal of what does not concern the anchor</w:t>
            </w:r>
          </w:p>
          <w:p>
            <w:pPr>
              <w:spacing w:after="0"/>
            </w:pPr>
            <w:r>
              <w:rPr>
                <w:color w:val="475569"/>
                <w:sz w:val="15"/>
                <w:szCs w:val="15"/>
              </w:rPr>
              <w:t xml:space="preserve">Verify on frozen vectors that the request conforms, that the token is read exactly, and that a token attesting another fingerprint, another nonce, or carrying a rejection is refused.</w:t>
            </w:r>
          </w:p>
        </w:tc>
        <w:tc>
          <w:tcPr>
            <w:tcW w:type="pct" w:w="45%"/>
            <w:tcMar>
              <w:top w:type="dxa" w:w="80"/>
              <w:left w:type="dxa" w:w="110"/>
              <w:bottom w:type="dxa" w:w="80"/>
              <w:right w:type="dxa" w:w="110"/>
            </w:tcMar>
          </w:tcPr>
          <w:p>
            <w:pPr>
              <w:spacing w:after="0"/>
            </w:pPr>
            <w:r>
              <w:rPr>
                <w:sz w:val="17"/>
                <w:szCs w:val="17"/>
              </w:rPr>
              <w:t xml:space="preserve">DER request of 90 bytes carrying the requested fingerprint; token of 2418 bytes read exactly (date 2026-08-03T08:55:03.000Z, serial 02, policy 1.3.6.1.4.1.99999.1.1); four refusals obtained: another fingerprint, another nonce, a rejection response from the authority, a truncated token</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OQ-22</w:t>
            </w:r>
          </w:p>
          <w:p>
            <w:pPr>
              <w:spacing w:after="0"/>
            </w:pPr>
            <w:r>
              <w:rPr>
                <w:color w:val="475569"/>
                <w:sz w:val="15"/>
                <w:szCs w:val="15"/>
              </w:rPr>
              <w:t xml:space="preserve">URS-26</w:t>
            </w:r>
          </w:p>
        </w:tc>
        <w:tc>
          <w:tcPr>
            <w:tcW w:type="pct" w:w="30%"/>
            <w:tcMar>
              <w:top w:type="dxa" w:w="80"/>
              <w:left w:type="dxa" w:w="110"/>
              <w:bottom w:type="dxa" w:w="80"/>
              <w:right w:type="dxa" w:w="110"/>
            </w:tcMar>
          </w:tcPr>
          <w:p>
            <w:pPr>
              <w:spacing w:after="50"/>
            </w:pPr>
            <w:r>
              <w:rPr>
                <w:b/>
                <w:bCs/>
                <w:sz w:val="17"/>
                <w:szCs w:val="17"/>
              </w:rPr>
              <w:t xml:space="preserve">The database reset covers every model of the schema</w:t>
            </w:r>
          </w:p>
          <w:p>
            <w:pPr>
              <w:spacing w:after="0"/>
            </w:pPr>
            <w:r>
              <w:rPr>
                <w:color w:val="475569"/>
                <w:sz w:val="15"/>
                <w:szCs w:val="15"/>
              </w:rPr>
              <w:t xml:space="preserve">Verify that the bootstrap script purges every declared model, so that a model added without being purged is reported here rather than discovered through a foreign-key error.</w:t>
            </w:r>
          </w:p>
        </w:tc>
        <w:tc>
          <w:tcPr>
            <w:tcW w:type="pct" w:w="45%"/>
            <w:tcMar>
              <w:top w:type="dxa" w:w="80"/>
              <w:left w:type="dxa" w:w="110"/>
              <w:bottom w:type="dxa" w:w="80"/>
              <w:right w:type="dxa" w:w="110"/>
            </w:tcMar>
          </w:tcPr>
          <w:p>
            <w:pPr>
              <w:spacing w:after="0"/>
            </w:pPr>
            <w:r>
              <w:rPr>
                <w:sz w:val="17"/>
                <w:szCs w:val="17"/>
              </w:rPr>
              <w:t xml:space="preserve">36 models declared, all purged or detached by prisma/seed.ts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OQ-23</w:t>
            </w:r>
          </w:p>
          <w:p>
            <w:pPr>
              <w:spacing w:after="0"/>
            </w:pPr>
            <w:r>
              <w:rPr>
                <w:color w:val="475569"/>
                <w:sz w:val="15"/>
                <w:szCs w:val="15"/>
              </w:rPr>
              <w:t xml:space="preserve">URS-27</w:t>
            </w:r>
          </w:p>
        </w:tc>
        <w:tc>
          <w:tcPr>
            <w:tcW w:type="pct" w:w="30%"/>
            <w:tcMar>
              <w:top w:type="dxa" w:w="80"/>
              <w:left w:type="dxa" w:w="110"/>
              <w:bottom w:type="dxa" w:w="80"/>
              <w:right w:type="dxa" w:w="110"/>
            </w:tcMar>
          </w:tcPr>
          <w:p>
            <w:pPr>
              <w:spacing w:after="50"/>
            </w:pPr>
            <w:r>
              <w:rPr>
                <w:b/>
                <w:bCs/>
                <w:sz w:val="17"/>
                <w:szCs w:val="17"/>
              </w:rPr>
              <w:t xml:space="preserve">Audit-trail chaining — continuity, modification, deletion</w:t>
            </w:r>
          </w:p>
          <w:p>
            <w:pPr>
              <w:spacing w:after="0"/>
            </w:pPr>
            <w:r>
              <w:rPr>
                <w:color w:val="475569"/>
                <w:sz w:val="15"/>
                <w:szCs w:val="15"/>
              </w:rPr>
              <w:t xml:space="preserve">Verify that the chain builds without a break, that an entry modified directly in the database is detected at the exact rank, that a deleted entry is too, and that restoring it makes the chain intact again.</w:t>
            </w:r>
          </w:p>
        </w:tc>
        <w:tc>
          <w:tcPr>
            <w:tcW w:type="pct" w:w="45%"/>
            <w:tcMar>
              <w:top w:type="dxa" w:w="80"/>
              <w:left w:type="dxa" w:w="110"/>
              <w:bottom w:type="dxa" w:w="80"/>
              <w:right w:type="dxa" w:w="110"/>
            </w:tcMar>
          </w:tcPr>
          <w:p>
            <w:pPr>
              <w:spacing w:after="0"/>
            </w:pPr>
            <w:r>
              <w:rPr>
                <w:sz w:val="17"/>
                <w:szCs w:val="17"/>
              </w:rPr>
              <w:t xml:space="preserve">5 entries chained at contiguous ranks (53–57); modification detected at rank 55 (nature “contenu”), chain intact again after restoration; deletion detected at rank 56 (nature “séquence”); the fingerprint depends on the 8 fields and on the previous link; serialisation unambiguous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OQ-24</w:t>
            </w:r>
          </w:p>
          <w:p>
            <w:pPr>
              <w:spacing w:after="0"/>
            </w:pPr>
            <w:r>
              <w:rPr>
                <w:color w:val="475569"/>
                <w:sz w:val="15"/>
                <w:szCs w:val="15"/>
              </w:rPr>
              <w:t xml:space="preserve">URS-28</w:t>
            </w:r>
          </w:p>
        </w:tc>
        <w:tc>
          <w:tcPr>
            <w:tcW w:type="pct" w:w="30%"/>
            <w:tcMar>
              <w:top w:type="dxa" w:w="80"/>
              <w:left w:type="dxa" w:w="110"/>
              <w:bottom w:type="dxa" w:w="80"/>
              <w:right w:type="dxa" w:w="110"/>
            </w:tcMar>
          </w:tcPr>
          <w:p>
            <w:pPr>
              <w:spacing w:after="50"/>
            </w:pPr>
            <w:r>
              <w:rPr>
                <w:b/>
                <w:bCs/>
                <w:sz w:val="17"/>
                <w:szCs w:val="17"/>
              </w:rPr>
              <w:t xml:space="preserve">Single chokepoint, and equivalence of the server-console mirror</w:t>
            </w:r>
          </w:p>
          <w:p>
            <w:pPr>
              <w:spacing w:after="0"/>
            </w:pPr>
            <w:r>
              <w:rPr>
                <w:color w:val="475569"/>
                <w:sz w:val="15"/>
                <w:szCs w:val="15"/>
              </w:rPr>
              <w:t xml:space="preserve">Verify that no write to the trail bypasses the chaining module, and that the mirror implementation of the console scripts produces exactly the same fingerprints.</w:t>
            </w:r>
          </w:p>
        </w:tc>
        <w:tc>
          <w:tcPr>
            <w:tcW w:type="pct" w:w="45%"/>
            <w:tcMar>
              <w:top w:type="dxa" w:w="80"/>
              <w:left w:type="dxa" w:w="110"/>
              <w:bottom w:type="dxa" w:w="80"/>
              <w:right w:type="dxa" w:w="110"/>
            </w:tcMar>
          </w:tcPr>
          <w:p>
            <w:pPr>
              <w:spacing w:after="0"/>
            </w:pPr>
            <w:r>
              <w:rPr>
                <w:sz w:val="17"/>
                <w:szCs w:val="17"/>
              </w:rPr>
              <w:t xml:space="preserve">242 source file(s) re-read, no write to the trail outside the module; 9 fingerprints compared between the TypeScript implementation and the server-console mirror, all identical</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OQ-25</w:t>
            </w:r>
          </w:p>
          <w:p>
            <w:pPr>
              <w:spacing w:after="0"/>
            </w:pPr>
            <w:r>
              <w:rPr>
                <w:color w:val="475569"/>
                <w:sz w:val="15"/>
                <w:szCs w:val="15"/>
              </w:rPr>
              <w:t xml:space="preserve">URS-29</w:t>
            </w:r>
          </w:p>
        </w:tc>
        <w:tc>
          <w:tcPr>
            <w:tcW w:type="pct" w:w="30%"/>
            <w:tcMar>
              <w:top w:type="dxa" w:w="80"/>
              <w:left w:type="dxa" w:w="110"/>
              <w:bottom w:type="dxa" w:w="80"/>
              <w:right w:type="dxa" w:w="110"/>
            </w:tcMar>
          </w:tcPr>
          <w:p>
            <w:pPr>
              <w:spacing w:after="50"/>
            </w:pPr>
            <w:r>
              <w:rPr>
                <w:b/>
                <w:bCs/>
                <w:sz w:val="17"/>
                <w:szCs w:val="17"/>
              </w:rPr>
              <w:t xml:space="preserve">Password age — computation, and the three states told apart</w:t>
            </w:r>
          </w:p>
          <w:p>
            <w:pPr>
              <w:spacing w:after="0"/>
            </w:pPr>
            <w:r>
              <w:rPr>
                <w:color w:val="475569"/>
                <w:sz w:val="15"/>
                <w:szCs w:val="15"/>
              </w:rPr>
              <w:t xml:space="preserve">Verify that age is computed from the change date, that an account with no password is never concerned, and that the three renewal reasons are told apart.</w:t>
            </w:r>
          </w:p>
        </w:tc>
        <w:tc>
          <w:tcPr>
            <w:tcW w:type="pct" w:w="45%"/>
            <w:tcMar>
              <w:top w:type="dxa" w:w="80"/>
              <w:left w:type="dxa" w:w="110"/>
              <w:bottom w:type="dxa" w:w="80"/>
              <w:right w:type="dxa" w:w="110"/>
            </w:tcMar>
          </w:tcPr>
          <w:p>
            <w:pPr>
              <w:spacing w:after="0"/>
            </w:pPr>
            <w:r>
              <w:rPr>
                <w:sz w:val="17"/>
                <w:szCs w:val="17"/>
              </w:rPr>
              <w:t xml:space="preserve">age computed in whole days (31, 0, null); referenced account outside any policy; account flagged for renewal honoured with AND without a policy; expiry at 90 d reached at 90, not at 89; a password never changed always reported, required only under a declared policy</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OQ-26</w:t>
            </w:r>
          </w:p>
          <w:p>
            <w:pPr>
              <w:spacing w:after="0"/>
            </w:pPr>
            <w:r>
              <w:rPr>
                <w:color w:val="475569"/>
                <w:sz w:val="15"/>
                <w:szCs w:val="15"/>
              </w:rPr>
              <w:t xml:space="preserve">URS-30</w:t>
            </w:r>
          </w:p>
        </w:tc>
        <w:tc>
          <w:tcPr>
            <w:tcW w:type="pct" w:w="30%"/>
            <w:tcMar>
              <w:top w:type="dxa" w:w="80"/>
              <w:left w:type="dxa" w:w="110"/>
              <w:bottom w:type="dxa" w:w="80"/>
              <w:right w:type="dxa" w:w="110"/>
            </w:tcMar>
          </w:tcPr>
          <w:p>
            <w:pPr>
              <w:spacing w:after="50"/>
            </w:pPr>
            <w:r>
              <w:rPr>
                <w:b/>
                <w:bCs/>
                <w:sz w:val="17"/>
                <w:szCs w:val="17"/>
              </w:rPr>
              <w:t xml:space="preserve">Renewal enforced: the date is set, and no entry point bypasses the guard</w:t>
            </w:r>
          </w:p>
          <w:p>
            <w:pPr>
              <w:spacing w:after="0"/>
            </w:pPr>
            <w:r>
              <w:rPr>
                <w:color w:val="475569"/>
                <w:sz w:val="15"/>
                <w:szCs w:val="15"/>
              </w:rPr>
              <w:t xml:space="preserve">Verify that setting a password timestamps the change and requires renewal, and that no page and no route of the application authenticates outside the guard that enforces it.</w:t>
            </w:r>
          </w:p>
        </w:tc>
        <w:tc>
          <w:tcPr>
            <w:tcW w:type="pct" w:w="45%"/>
            <w:tcMar>
              <w:top w:type="dxa" w:w="80"/>
              <w:left w:type="dxa" w:w="110"/>
              <w:bottom w:type="dxa" w:w="80"/>
              <w:right w:type="dxa" w:w="110"/>
            </w:tcMar>
          </w:tcPr>
          <w:p>
            <w:pPr>
              <w:spacing w:after="0"/>
            </w:pPr>
            <w:r>
              <w:rPr>
                <w:sz w:val="17"/>
                <w:szCs w:val="17"/>
              </w:rPr>
              <w:t xml:space="preserve">token redemption and personal change timestamped and requirement lifted, bootstrap account timestamped and flagged for renewal; requireUser() redirects to the renewal screen; 57 entry point(s) re-read, none authenticates outside the guard (3 named exceptions: layout, sign-in, renewal)</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OQ-27</w:t>
            </w:r>
          </w:p>
          <w:p>
            <w:pPr>
              <w:spacing w:after="0"/>
            </w:pPr>
            <w:r>
              <w:rPr>
                <w:color w:val="475569"/>
                <w:sz w:val="15"/>
                <w:szCs w:val="15"/>
              </w:rPr>
              <w:t xml:space="preserve">URS-31</w:t>
            </w:r>
          </w:p>
        </w:tc>
        <w:tc>
          <w:tcPr>
            <w:tcW w:type="pct" w:w="30%"/>
            <w:tcMar>
              <w:top w:type="dxa" w:w="80"/>
              <w:left w:type="dxa" w:w="110"/>
              <w:bottom w:type="dxa" w:w="80"/>
              <w:right w:type="dxa" w:w="110"/>
            </w:tcMar>
          </w:tcPr>
          <w:p>
            <w:pPr>
              <w:spacing w:after="50"/>
            </w:pPr>
            <w:r>
              <w:rPr>
                <w:b/>
                <w:bCs/>
                <w:sz w:val="17"/>
                <w:szCs w:val="17"/>
              </w:rPr>
              <w:t xml:space="preserve">Token-based reset: single use, time-bounded, tied to a single account</w:t>
            </w:r>
          </w:p>
          <w:p>
            <w:pPr>
              <w:spacing w:after="0"/>
            </w:pPr>
            <w:r>
              <w:rPr>
                <w:color w:val="475569"/>
                <w:sz w:val="15"/>
                <w:szCs w:val="15"/>
              </w:rPr>
              <w:t xml:space="preserve">Verify that a token is stored hashed only, that it opens the choice of a password once only, that it expires, that it is valid only for the account it was issued to, and that a re-issue revokes the previous one.</w:t>
            </w:r>
          </w:p>
        </w:tc>
        <w:tc>
          <w:tcPr>
            <w:tcW w:type="pct" w:w="45%"/>
            <w:tcMar>
              <w:top w:type="dxa" w:w="80"/>
              <w:left w:type="dxa" w:w="110"/>
              <w:bottom w:type="dxa" w:w="80"/>
              <w:right w:type="dxa" w:w="110"/>
            </w:tcMar>
          </w:tcPr>
          <w:p>
            <w:pPr>
              <w:spacing w:after="0"/>
            </w:pPr>
            <w:r>
              <w:rPr>
                <w:sz w:val="17"/>
                <w:szCs w:val="17"/>
              </w:rPr>
              <w:t xml:space="preserve">token stored as a SHA-256 fingerprint only; refused on a foreign account, on replay (“utilise”), after expiry (“expire”) and after re-issue; accepted once, input normalised, setting the password chosen by its holder without re-imposing a renewal; 1 session revoked on issuance; issuance refused on a deactivated account</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261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OQ-28</w:t>
            </w:r>
          </w:p>
          <w:p>
            <w:pPr>
              <w:spacing w:after="0"/>
            </w:pPr>
            <w:r>
              <w:rPr>
                <w:color w:val="475569"/>
                <w:sz w:val="15"/>
                <w:szCs w:val="15"/>
              </w:rPr>
              <w:t xml:space="preserve">URS-31</w:t>
            </w:r>
          </w:p>
        </w:tc>
        <w:tc>
          <w:tcPr>
            <w:tcW w:type="pct" w:w="30%"/>
            <w:tcMar>
              <w:top w:type="dxa" w:w="80"/>
              <w:left w:type="dxa" w:w="110"/>
              <w:bottom w:type="dxa" w:w="80"/>
              <w:right w:type="dxa" w:w="110"/>
            </w:tcMar>
          </w:tcPr>
          <w:p>
            <w:pPr>
              <w:spacing w:after="50"/>
            </w:pPr>
            <w:r>
              <w:rPr>
                <w:b/>
                <w:bCs/>
                <w:sz w:val="17"/>
                <w:szCs w:val="17"/>
              </w:rPr>
              <w:t xml:space="preserve">No path allows anyone to set another person's password</w:t>
            </w:r>
          </w:p>
          <w:p>
            <w:pPr>
              <w:spacing w:after="0"/>
            </w:pPr>
            <w:r>
              <w:rPr>
                <w:color w:val="475569"/>
                <w:sz w:val="15"/>
                <w:szCs w:val="15"/>
              </w:rPr>
              <w:t xml:space="preserve">Verify, by re-reading the source, that the only password write concerning somebody else goes through the redemption of a token, and that no form and no console tool makes anyone type a third party's password.</w:t>
            </w:r>
          </w:p>
        </w:tc>
        <w:tc>
          <w:tcPr>
            <w:tcW w:type="pct" w:w="45%"/>
            <w:tcMar>
              <w:top w:type="dxa" w:w="80"/>
              <w:left w:type="dxa" w:w="110"/>
              <w:bottom w:type="dxa" w:w="80"/>
              <w:right w:type="dxa" w:w="110"/>
            </w:tcMar>
          </w:tcPr>
          <w:p>
            <w:pPr>
              <w:spacing w:after="0"/>
            </w:pPr>
            <w:r>
              <w:rPr>
                <w:sz w:val="17"/>
                <w:szCs w:val="17"/>
              </w:rPr>
              <w:t xml:space="preserve">242 source file(s) re-read: no password write outside the authorised paths; a single write in the server actions, the personal change, which requires the old password; the console emergency tool issues a token and can no longer derive a password; no password field outside the 7 screens where you type your own</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OQ-29</w:t>
            </w:r>
          </w:p>
          <w:p>
            <w:pPr>
              <w:spacing w:after="0"/>
            </w:pPr>
            <w:r>
              <w:rPr>
                <w:color w:val="475569"/>
                <w:sz w:val="15"/>
                <w:szCs w:val="15"/>
              </w:rPr>
              <w:t xml:space="preserve">URS-32</w:t>
            </w:r>
          </w:p>
        </w:tc>
        <w:tc>
          <w:tcPr>
            <w:tcW w:type="pct" w:w="30%"/>
            <w:tcMar>
              <w:top w:type="dxa" w:w="80"/>
              <w:left w:type="dxa" w:w="110"/>
              <w:bottom w:type="dxa" w:w="80"/>
              <w:right w:type="dxa" w:w="110"/>
            </w:tcMar>
          </w:tcPr>
          <w:p>
            <w:pPr>
              <w:spacing w:after="50"/>
            </w:pPr>
            <w:r>
              <w:rPr>
                <w:b/>
                <w:bCs/>
                <w:sz w:val="17"/>
                <w:szCs w:val="17"/>
              </w:rPr>
              <w:t xml:space="preserve">The delivered image starts, bootstraps, and discloses nothing</w:t>
            </w:r>
          </w:p>
          <w:p>
            <w:pPr>
              <w:spacing w:after="0"/>
            </w:pPr>
            <w:r>
              <w:rPr>
                <w:color w:val="475569"/>
                <w:sz w:val="15"/>
                <w:szCs w:val="15"/>
              </w:rPr>
              <w:t xml:space="preserve">Start a container from the image actually built, on virgin volumes, and verify from ITS log and ITS HTTP responses that the installation completes — instead of inferring it from the source code, which says nothing about what the image contains.</w:t>
            </w:r>
          </w:p>
        </w:tc>
        <w:tc>
          <w:tcPr>
            <w:tcW w:type="pct" w:w="45%"/>
            <w:tcMar>
              <w:top w:type="dxa" w:w="80"/>
              <w:left w:type="dxa" w:w="110"/>
              <w:bottom w:type="dxa" w:w="80"/>
              <w:right w:type="dxa" w:w="110"/>
            </w:tcMar>
          </w:tcPr>
          <w:p>
            <w:pPr>
              <w:spacing w:after="0"/>
            </w:pPr>
            <w:r>
              <w:rPr>
                <w:sz w:val="17"/>
                <w:szCs w:val="17"/>
              </w:rPr>
              <w:t xml:space="preserve">image filum:latest started on virgin volumes, container HEALTHY; migrations applied, audit-trail chain intact, organisation, programme, administrator account and standards library created; version 1.2.1 announced in the log AND carried by /app/VERSION; archival-copy font and ICC profile present in the image; /login answers 200; a protected route renders the sign-in screen (10462 bytes) disclosing neither the organisation name nor the programme name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10742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OQ-30</w:t>
            </w:r>
          </w:p>
          <w:p>
            <w:pPr>
              <w:spacing w:after="0"/>
            </w:pPr>
            <w:r>
              <w:rPr>
                <w:color w:val="475569"/>
                <w:sz w:val="15"/>
                <w:szCs w:val="15"/>
              </w:rPr>
              <w:t xml:space="preserve">URS-33</w:t>
            </w:r>
          </w:p>
        </w:tc>
        <w:tc>
          <w:tcPr>
            <w:tcW w:type="pct" w:w="30%"/>
            <w:tcMar>
              <w:top w:type="dxa" w:w="80"/>
              <w:left w:type="dxa" w:w="110"/>
              <w:bottom w:type="dxa" w:w="80"/>
              <w:right w:type="dxa" w:w="110"/>
            </w:tcMar>
          </w:tcPr>
          <w:p>
            <w:pPr>
              <w:spacing w:after="50"/>
            </w:pPr>
            <w:r>
              <w:rPr>
                <w:b/>
                <w:bCs/>
                <w:sz w:val="17"/>
                <w:szCs w:val="17"/>
              </w:rPr>
              <w:t xml:space="preserve">Bilingual audit trail — rendering, vocabulary, data, and message fingerprint</w:t>
            </w:r>
          </w:p>
          <w:p>
            <w:pPr>
              <w:spacing w:after="0"/>
            </w:pPr>
            <w:r>
              <w:rPr>
                <w:color w:val="475569"/>
                <w:sz w:val="15"/>
                <w:szCs w:val="15"/>
              </w:rPr>
              <w:t xml:space="preserve">Verify that the catalogue is complete in both languages, that an entry written by the application reads back in French and in English, that the software vocabulary follows the language while entered data stays intact, that the key and arguments are covered by the fingerprint, and that earlier entries keep theirs.</w:t>
            </w:r>
          </w:p>
        </w:tc>
        <w:tc>
          <w:tcPr>
            <w:tcW w:type="pct" w:w="45%"/>
            <w:tcMar>
              <w:top w:type="dxa" w:w="80"/>
              <w:left w:type="dxa" w:w="110"/>
              <w:bottom w:type="dxa" w:w="80"/>
              <w:right w:type="dxa" w:w="110"/>
            </w:tcMar>
          </w:tcPr>
          <w:p>
            <w:pPr>
              <w:spacing w:after="0"/>
            </w:pPr>
            <w:r>
              <w:rPr>
                <w:sz w:val="17"/>
                <w:szCs w:val="17"/>
              </w:rPr>
              <w:t xml:space="preserve">199 catalogue messages complete in both languages with identical variables; entry written through the chokepoint read back as “SPEC-OQ30 : En attente → Justifié — justification : ess…” and “SPEC-OQ30: Pending → Justified — justification: essai d…”; the status follows the language, the entered reason is returned identically in both; argument rewriting and key change detected at rank 64, chain restored after reinstatement; an entry without a message serialises over 9 fields as before, 11 with one, console mirror identical on both forms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23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OQ-31</w:t>
            </w:r>
          </w:p>
          <w:p>
            <w:pPr>
              <w:spacing w:after="0"/>
            </w:pPr>
            <w:r>
              <w:rPr>
                <w:color w:val="475569"/>
                <w:sz w:val="15"/>
                <w:szCs w:val="15"/>
              </w:rPr>
              <w:t xml:space="preserve">URS-34</w:t>
            </w:r>
          </w:p>
        </w:tc>
        <w:tc>
          <w:tcPr>
            <w:tcW w:type="pct" w:w="30%"/>
            <w:tcMar>
              <w:top w:type="dxa" w:w="80"/>
              <w:left w:type="dxa" w:w="110"/>
              <w:bottom w:type="dxa" w:w="80"/>
              <w:right w:type="dxa" w:w="110"/>
            </w:tcMar>
          </w:tcPr>
          <w:p>
            <w:pPr>
              <w:spacing w:after="50"/>
            </w:pPr>
            <w:r>
              <w:rPr>
                <w:b/>
                <w:bCs/>
                <w:sz w:val="17"/>
                <w:szCs w:val="17"/>
              </w:rPr>
              <w:t xml:space="preserve">PDF/A archival copy — structure, embedded resources, and readable text</w:t>
            </w:r>
          </w:p>
          <w:p>
            <w:pPr>
              <w:spacing w:after="0"/>
            </w:pPr>
            <w:r>
              <w:rPr>
                <w:color w:val="475569"/>
                <w:sz w:val="15"/>
                <w:szCs w:val="15"/>
              </w:rPr>
              <w:t xml:space="preserve">Verify that a frozen record produces a PDF/A-2b copy whose font and colour profile are embedded, whose metadata declares the targeted conformance, whose cross-reference table points at the real positions, and whose text maps back entirely to characters — accents included.</w:t>
            </w:r>
          </w:p>
        </w:tc>
        <w:tc>
          <w:tcPr>
            <w:tcW w:type="pct" w:w="45%"/>
            <w:tcMar>
              <w:top w:type="dxa" w:w="80"/>
              <w:left w:type="dxa" w:w="110"/>
              <w:bottom w:type="dxa" w:w="80"/>
              <w:right w:type="dxa" w:w="110"/>
            </w:tcMar>
          </w:tcPr>
          <w:p>
            <w:pPr>
              <w:spacing w:after="0"/>
            </w:pPr>
            <w:r>
              <w:rPr>
                <w:sz w:val="17"/>
                <w:szCs w:val="17"/>
              </w:rPr>
              <w:t xml:space="preserve">archival copy of OQ-012-revision rev. 001 produced (124014 bytes, 1 page(s)); 30 PDF/A-2b structural checks passed — embedded font, “acsp” ICC profile of 3024 bytes, pdfaid metadata part 2 level B, exact offsets; text fully read back through the file's own table, 43 accented or typographic character(s) restored; deterministic production (two runs identical byte for byte)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26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OQ-32</w:t>
            </w:r>
          </w:p>
          <w:p>
            <w:pPr>
              <w:spacing w:after="0"/>
            </w:pPr>
            <w:r>
              <w:rPr>
                <w:color w:val="475569"/>
                <w:sz w:val="15"/>
                <w:szCs w:val="15"/>
              </w:rPr>
              <w:t xml:space="preserve">URS-35</w:t>
            </w:r>
          </w:p>
        </w:tc>
        <w:tc>
          <w:tcPr>
            <w:tcW w:type="pct" w:w="30%"/>
            <w:tcMar>
              <w:top w:type="dxa" w:w="80"/>
              <w:left w:type="dxa" w:w="110"/>
              <w:bottom w:type="dxa" w:w="80"/>
              <w:right w:type="dxa" w:w="110"/>
            </w:tcMar>
          </w:tcPr>
          <w:p>
            <w:pPr>
              <w:spacing w:after="50"/>
            </w:pPr>
            <w:r>
              <w:rPr>
                <w:b/>
                <w:bCs/>
                <w:sz w:val="17"/>
                <w:szCs w:val="17"/>
              </w:rPr>
              <w:t xml:space="preserve">Trail review coverage: rank-contiguous, frozen at opening, no concurrent review</w:t>
            </w:r>
          </w:p>
          <w:p>
            <w:pPr>
              <w:spacing w:after="0"/>
            </w:pPr>
            <w:r>
              <w:rPr>
                <w:color w:val="475569"/>
                <w:sz w:val="15"/>
                <w:szCs w:val="15"/>
              </w:rPr>
              <w:t xml:space="preserve">Verify that a review freezes its window at opening — entries written while it is open, including those it produces itself, fall into the next one —, that no second review can be opened in parallel, that an empty window is refused, and that two successive reviews leave neither gap nor overlap.</w:t>
            </w:r>
          </w:p>
        </w:tc>
        <w:tc>
          <w:tcPr>
            <w:tcW w:type="pct" w:w="45%"/>
            <w:tcMar>
              <w:top w:type="dxa" w:w="80"/>
              <w:left w:type="dxa" w:w="110"/>
              <w:bottom w:type="dxa" w:w="80"/>
              <w:right w:type="dxa" w:w="110"/>
            </w:tcMar>
          </w:tcPr>
          <w:p>
            <w:pPr>
              <w:spacing w:after="0"/>
            </w:pPr>
            <w:r>
              <w:rPr>
                <w:sz w:val="17"/>
                <w:szCs w:val="17"/>
              </w:rPr>
              <w:t xml:space="preserve">successive windows 1-67 then 68-70: contiguous, with no overlap and no gap; concurrent opening refused (“dejaOuverte”); the entry written DURING the first review fell into the second window, the frozen window having not moved; coverage reached rank 74 of 76, 0 gap; no break added to the chain over 75 entries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142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OQ-33</w:t>
            </w:r>
          </w:p>
          <w:p>
            <w:pPr>
              <w:spacing w:after="0"/>
            </w:pPr>
            <w:r>
              <w:rPr>
                <w:color w:val="475569"/>
                <w:sz w:val="15"/>
                <w:szCs w:val="15"/>
              </w:rPr>
              <w:t xml:space="preserve">URS-36</w:t>
            </w:r>
          </w:p>
        </w:tc>
        <w:tc>
          <w:tcPr>
            <w:tcW w:type="pct" w:w="30%"/>
            <w:tcMar>
              <w:top w:type="dxa" w:w="80"/>
              <w:left w:type="dxa" w:w="110"/>
              <w:bottom w:type="dxa" w:w="80"/>
              <w:right w:type="dxa" w:w="110"/>
            </w:tcMar>
          </w:tcPr>
          <w:p>
            <w:pPr>
              <w:spacing w:after="50"/>
            </w:pPr>
            <w:r>
              <w:rPr>
                <w:b/>
                <w:bCs/>
                <w:sz w:val="17"/>
                <w:szCs w:val="17"/>
              </w:rPr>
              <w:t xml:space="preserve">Closing a review: signature bound to the digest of the reviewed content, impossible on undecided lines</w:t>
            </w:r>
          </w:p>
          <w:p>
            <w:pPr>
              <w:spacing w:after="0"/>
            </w:pPr>
            <w:r>
              <w:rPr>
                <w:color w:val="475569"/>
                <w:sz w:val="15"/>
                <w:szCs w:val="15"/>
              </w:rPr>
              <w:t xml:space="preserve">Verify that a review refuses to close while any selected entry is undecided or the conclusion is empty, that an affirmative verdict requires its reason, that closing produces a manifestation carrying the printed name, the meaning “Reviewed” and the content digest, that this digest recomputes identically outside the software and changes on the slightest content change, that independence is measured on the SIGNATORY, and that a closed review does not reopen.</w:t>
            </w:r>
          </w:p>
        </w:tc>
        <w:tc>
          <w:tcPr>
            <w:tcW w:type="pct" w:w="45%"/>
            <w:tcMar>
              <w:top w:type="dxa" w:w="80"/>
              <w:left w:type="dxa" w:w="110"/>
              <w:bottom w:type="dxa" w:w="80"/>
              <w:right w:type="dxa" w:w="110"/>
            </w:tcMar>
          </w:tcPr>
          <w:p>
            <w:pPr>
              <w:spacing w:after="0"/>
            </w:pPr>
            <w:r>
              <w:rPr>
                <w:sz w:val="17"/>
                <w:szCs w:val="17"/>
              </w:rPr>
              <w:t xml:space="preserve">closure refused three times before being allowed — empty conclusion, 1 undecided entry/entries, affirmative verdict without a reason; manifestation “Testeur QR2 (QR2) · Revu · 01/10/2026 11:08:09 UTC · enregistrement 58B2 33D2 4F55” carrying the printed name, the meaning “Reviewed” and the content digest; digest recomputed identically outside the software, and changed by the slightest change of conclusion or verdict; independence recorded on the SIGNATORY (0 entry/entries written by them, against 5 by the opener); 10 triage rules recorded in the record; re-closing and re-deciding refused; no break added to the chain over 82 entries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142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OQ-34</w:t>
            </w:r>
          </w:p>
          <w:p>
            <w:pPr>
              <w:spacing w:after="0"/>
            </w:pPr>
            <w:r>
              <w:rPr>
                <w:color w:val="475569"/>
                <w:sz w:val="15"/>
                <w:szCs w:val="15"/>
              </w:rPr>
              <w:t xml:space="preserve">URS-37</w:t>
            </w:r>
          </w:p>
        </w:tc>
        <w:tc>
          <w:tcPr>
            <w:tcW w:type="pct" w:w="30%"/>
            <w:tcMar>
              <w:top w:type="dxa" w:w="80"/>
              <w:left w:type="dxa" w:w="110"/>
              <w:bottom w:type="dxa" w:w="80"/>
              <w:right w:type="dxa" w:w="110"/>
            </w:tcMar>
          </w:tcPr>
          <w:p>
            <w:pPr>
              <w:spacing w:after="50"/>
            </w:pPr>
            <w:r>
              <w:rPr>
                <w:b/>
                <w:bCs/>
                <w:sz w:val="17"/>
                <w:szCs w:val="17"/>
              </w:rPr>
              <w:t xml:space="preserve">Statement quality: deterministic, network-free, write-free, block-free</w:t>
            </w:r>
          </w:p>
          <w:p>
            <w:pPr>
              <w:spacing w:after="0"/>
            </w:pPr>
            <w:r>
              <w:rPr>
                <w:color w:val="475569"/>
                <w:sz w:val="15"/>
                <w:szCs w:val="15"/>
              </w:rPr>
              <w:t xml:space="preserve">Verify that the checks return the same verdict for the same statement, that they quote the offending fragment exactly as written, that they recognise the EARS patterns, that they do not cry wolf on correct statements — normative references and programme numbers included — and that nothing in the module writes to the database, calls the network, or can prevent a save.</w:t>
            </w:r>
          </w:p>
        </w:tc>
        <w:tc>
          <w:tcPr>
            <w:tcW w:type="pct" w:w="45%"/>
            <w:tcMar>
              <w:top w:type="dxa" w:w="80"/>
              <w:left w:type="dxa" w:w="110"/>
              <w:bottom w:type="dxa" w:w="80"/>
              <w:right w:type="dxa" w:w="110"/>
            </w:tcMar>
          </w:tcPr>
          <w:p>
            <w:pPr>
              <w:spacing w:after="0"/>
            </w:pPr>
            <w:r>
              <w:rPr>
                <w:sz w:val="17"/>
                <w:szCs w:val="17"/>
              </w:rPr>
              <w:t xml:space="preserve">11 deterministic rules exercised on 11 faulty statements: each fired and quoted the author's exact fragment; no finding on 5 correct statements, normative references (ISO 14971, IEC 60601-1) and programme number (OD-300) included; 5 EARS patterns recognised over 7 statements in both languages, and no pattern returned for a sentence without an obligation verb; 16 analyses replayed identically (determinism); the module references no database, no network and no server module, and requirement creation does not consult it — so no finding can prevent a save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OQ-35</w:t>
            </w:r>
          </w:p>
          <w:p>
            <w:pPr>
              <w:spacing w:after="0"/>
            </w:pPr>
            <w:r>
              <w:rPr>
                <w:color w:val="475569"/>
                <w:sz w:val="15"/>
                <w:szCs w:val="15"/>
              </w:rPr>
              <w:t xml:space="preserve">URS-38</w:t>
            </w:r>
          </w:p>
        </w:tc>
        <w:tc>
          <w:tcPr>
            <w:tcW w:type="pct" w:w="30%"/>
            <w:tcMar>
              <w:top w:type="dxa" w:w="80"/>
              <w:left w:type="dxa" w:w="110"/>
              <w:bottom w:type="dxa" w:w="80"/>
              <w:right w:type="dxa" w:w="110"/>
            </w:tcMar>
          </w:tcPr>
          <w:p>
            <w:pPr>
              <w:spacing w:after="50"/>
            </w:pPr>
            <w:r>
              <w:rPr>
                <w:b/>
                <w:bCs/>
                <w:sz w:val="17"/>
                <w:szCs w:val="17"/>
              </w:rPr>
              <w:t xml:space="preserve">Importing a workbook and a document: faithful extraction, column mapping, same dry run</w:t>
            </w:r>
          </w:p>
          <w:p>
            <w:pPr>
              <w:spacing w:after="0"/>
            </w:pPr>
            <w:r>
              <w:rPr>
                <w:color w:val="475569"/>
                <w:sz w:val="15"/>
                <w:szCs w:val="15"/>
              </w:rPr>
              <w:t xml:space="preserve">Verify, on files produced by Excel and Word themselves, that each table is returned with its original headers, that an empty cell in the middle of a row does not shift the following ones, that in-house headings can be mapped by hand, that French enumeration values are mapped back to internal values, and that the selected table goes through the same dry run and the same write as CSV.</w:t>
            </w:r>
          </w:p>
        </w:tc>
        <w:tc>
          <w:tcPr>
            <w:tcW w:type="pct" w:w="45%"/>
            <w:tcMar>
              <w:top w:type="dxa" w:w="80"/>
              <w:left w:type="dxa" w:w="110"/>
              <w:bottom w:type="dxa" w:w="80"/>
              <w:right w:type="dxa" w:w="110"/>
            </w:tcMar>
          </w:tcPr>
          <w:p>
            <w:pPr>
              <w:spacing w:after="0"/>
            </w:pPr>
            <w:r>
              <w:rPr>
                <w:sz w:val="17"/>
                <w:szCs w:val="17"/>
              </w:rPr>
              <w:t xml:space="preserve">Excel workbook: 2 sheet(s) returned with their real names and their 5 original headers, three of which Filum does not recognise (“Req ID”, “Description of requirement”, “Crit.”); the empty cell in the middle of SYS-102 keeps its place and “PM” did not slide one column left; Word document: 3 rows read from a real table. After manual assignment of the three columns, the table goes through the EXISTING dry run: 3 to create, 0 rejected, and “Haute” criticalities are mapped back to “High”. An unknown criticality is reported and left empty rather than stored. A non-zip file and an unsupported format are refused with their own reason</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OQ-36</w:t>
            </w:r>
          </w:p>
          <w:p>
            <w:pPr>
              <w:spacing w:after="0"/>
            </w:pPr>
            <w:r>
              <w:rPr>
                <w:color w:val="475569"/>
                <w:sz w:val="15"/>
                <w:szCs w:val="15"/>
              </w:rPr>
              <w:t xml:space="preserve">URS-39</w:t>
            </w:r>
          </w:p>
        </w:tc>
        <w:tc>
          <w:tcPr>
            <w:tcW w:type="pct" w:w="30%"/>
            <w:tcMar>
              <w:top w:type="dxa" w:w="80"/>
              <w:left w:type="dxa" w:w="110"/>
              <w:bottom w:type="dxa" w:w="80"/>
              <w:right w:type="dxa" w:w="110"/>
            </w:tcMar>
          </w:tcPr>
          <w:p>
            <w:pPr>
              <w:spacing w:after="50"/>
            </w:pPr>
            <w:r>
              <w:rPr>
                <w:b/>
                <w:bCs/>
                <w:sz w:val="17"/>
                <w:szCs w:val="17"/>
              </w:rPr>
              <w:t xml:space="preserve">Technical file: index derived from the graph, out-of-scope named, and no contradiction with the package</w:t>
            </w:r>
          </w:p>
          <w:p>
            <w:pPr>
              <w:spacing w:after="0"/>
            </w:pPr>
            <w:r>
              <w:rPr>
                <w:color w:val="475569"/>
                <w:sz w:val="15"/>
                <w:szCs w:val="15"/>
              </w:rPr>
              <w:t xml:space="preserve">Verify that the index covers all 50 items of the diagnostic referential, that each status derives from the graph and changes when the graph changes, that out-of-scope items are named with their source, that the index never declares absent a document type present in the package, and that the digests cover every file.</w:t>
            </w:r>
          </w:p>
        </w:tc>
        <w:tc>
          <w:tcPr>
            <w:tcW w:type="pct" w:w="45%"/>
            <w:tcMar>
              <w:top w:type="dxa" w:w="80"/>
              <w:left w:type="dxa" w:w="110"/>
              <w:bottom w:type="dxa" w:w="80"/>
              <w:right w:type="dxa" w:w="110"/>
            </w:tcMar>
          </w:tcPr>
          <w:p>
            <w:pPr>
              <w:spacing w:after="0"/>
            </w:pPr>
            <w:r>
              <w:rPr>
                <w:sz w:val="17"/>
                <w:szCs w:val="17"/>
              </w:rPr>
              <w:t xml:space="preserve">index of 50 items, identical to the diagnostic referential supplied beforehand; on an empty programme, 0 item covered and 15 outside scope, each naming the source the piece must come from; creating a single requirement moves INP-1 from “absent” to “covered” — the status follows the graph and is not typed in; on the demonstration file, no item is declared absent while a document of its type is released in the same package, the digests cover the other 4 files, and the cover note states that the package is not a complete technical file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67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OQ-37</w:t>
            </w:r>
          </w:p>
          <w:p>
            <w:pPr>
              <w:spacing w:after="0"/>
            </w:pPr>
            <w:r>
              <w:rPr>
                <w:color w:val="475569"/>
                <w:sz w:val="15"/>
                <w:szCs w:val="15"/>
              </w:rPr>
              <w:t xml:space="preserve">URS-40</w:t>
            </w:r>
          </w:p>
        </w:tc>
        <w:tc>
          <w:tcPr>
            <w:tcW w:type="pct" w:w="30%"/>
            <w:tcMar>
              <w:top w:type="dxa" w:w="80"/>
              <w:left w:type="dxa" w:w="110"/>
              <w:bottom w:type="dxa" w:w="80"/>
              <w:right w:type="dxa" w:w="110"/>
            </w:tcMar>
          </w:tcPr>
          <w:p>
            <w:pPr>
              <w:spacing w:after="50"/>
            </w:pPr>
            <w:r>
              <w:rPr>
                <w:b/>
                <w:bCs/>
                <w:sz w:val="17"/>
                <w:szCs w:val="17"/>
              </w:rPr>
              <w:t xml:space="preserve">Continuous backup: WAL journalling, append-only volume, and verifiable database ↔ files consistency</w:t>
            </w:r>
          </w:p>
          <w:p>
            <w:pPr>
              <w:spacing w:after="0"/>
            </w:pPr>
            <w:r>
              <w:rPr>
                <w:color w:val="475569"/>
                <w:sz w:val="15"/>
                <w:szCs w:val="15"/>
              </w:rPr>
              <w:t xml:space="preserve">Verify that the database uses WAL journalling — the precondition of any continuous replication —, that the switch is idempotent, that no path in the software deletes or overwrites in the file volume, and that the restore check distinguishes an absent piece from a tampered one, naming the one that is missing.</w:t>
            </w:r>
          </w:p>
        </w:tc>
        <w:tc>
          <w:tcPr>
            <w:tcW w:type="pct" w:w="45%"/>
            <w:tcMar>
              <w:top w:type="dxa" w:w="80"/>
              <w:left w:type="dxa" w:w="110"/>
              <w:bottom w:type="dxa" w:w="80"/>
              <w:right w:type="dxa" w:w="110"/>
            </w:tcMar>
          </w:tcPr>
          <w:p>
            <w:pPr>
              <w:spacing w:after="0"/>
            </w:pPr>
            <w:r>
              <w:rPr>
                <w:sz w:val="17"/>
                <w:szCs w:val="17"/>
              </w:rPr>
              <w:t xml:space="preserve">database in WAL journalling, idempotent switch; 181 source file(s) re-read, no path deletes or overwrites in the file volume outside the import purge — it is that append-only property which makes the rule “restore files to an instant at or after the database” safe; over 19 referenced piece(s), removing an approved record is reported ABSENT and named (OQ-014-restauration), modifying it outside the software is reported TAMPERED, the two defects are never conflated, and the report returns to consistent once the piece is restored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215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OQ-38</w:t>
            </w:r>
          </w:p>
          <w:p>
            <w:pPr>
              <w:spacing w:after="0"/>
            </w:pPr>
            <w:r>
              <w:rPr>
                <w:color w:val="475569"/>
                <w:sz w:val="15"/>
                <w:szCs w:val="15"/>
              </w:rPr>
              <w:t xml:space="preserve">URS-41</w:t>
            </w:r>
          </w:p>
        </w:tc>
        <w:tc>
          <w:tcPr>
            <w:tcW w:type="pct" w:w="30%"/>
            <w:tcMar>
              <w:top w:type="dxa" w:w="80"/>
              <w:left w:type="dxa" w:w="110"/>
              <w:bottom w:type="dxa" w:w="80"/>
              <w:right w:type="dxa" w:w="110"/>
            </w:tcMar>
          </w:tcPr>
          <w:p>
            <w:pPr>
              <w:spacing w:after="50"/>
            </w:pPr>
            <w:r>
              <w:rPr>
                <w:b/>
                <w:bCs/>
                <w:sz w:val="17"/>
                <w:szCs w:val="17"/>
              </w:rPr>
              <w:t xml:space="preserve">Demonstration mode: off by default, announced before sign-in, non-dismissible, and without effect on records</w:t>
            </w:r>
          </w:p>
          <w:p>
            <w:pPr>
              <w:spacing w:after="0"/>
            </w:pPr>
            <w:r>
              <w:rPr>
                <w:color w:val="475569"/>
                <w:sz w:val="15"/>
                <w:szCs w:val="15"/>
              </w:rPr>
              <w:t xml:space="preserve">Verify that demonstration mode only switches on for an explicit value, that the announced period falls back safely instead of displaying an absurd value, that the RENDERED banner says the three things it must say in both languages and offers no way to dismiss it, that it sits BEFORE the authentication gate — hence visible on the sign-in screen — and that no module producing data or documents depends on this mode.</w:t>
            </w:r>
          </w:p>
        </w:tc>
        <w:tc>
          <w:tcPr>
            <w:tcW w:type="pct" w:w="45%"/>
            <w:tcMar>
              <w:top w:type="dxa" w:w="80"/>
              <w:left w:type="dxa" w:w="110"/>
              <w:bottom w:type="dxa" w:w="80"/>
              <w:right w:type="dxa" w:w="110"/>
            </w:tcMar>
          </w:tcPr>
          <w:p>
            <w:pPr>
              <w:spacing w:after="0"/>
            </w:pPr>
            <w:r>
              <w:rPr>
                <w:sz w:val="17"/>
                <w:szCs w:val="17"/>
              </w:rPr>
              <w:t xml:space="preserve">mode off without FILUM_DEMO and for 10 neighbouring values (“true”, “oui”, “0”, “1” with a space…), on for “1” alone; announced period bounded over 12 values, falling back to 6 h for an absurd or absent one; banner RENDERED in both languages carrying the three required statements — fictional data, periodic erasure, not a qualified installation —, with no dismiss button and with the “alert” role; rendered BEFORE the authentication gate, hence present on the sign-in screen; 179 source file(s) re-read, no module outside the shell depends on the mode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497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OQ-39</w:t>
            </w:r>
          </w:p>
          <w:p>
            <w:pPr>
              <w:spacing w:after="0"/>
            </w:pPr>
            <w:r>
              <w:rPr>
                <w:color w:val="475569"/>
                <w:sz w:val="15"/>
                <w:szCs w:val="15"/>
              </w:rPr>
              <w:t xml:space="preserve">URS-42</w:t>
            </w:r>
          </w:p>
        </w:tc>
        <w:tc>
          <w:tcPr>
            <w:tcW w:type="pct" w:w="30%"/>
            <w:tcMar>
              <w:top w:type="dxa" w:w="80"/>
              <w:left w:type="dxa" w:w="110"/>
              <w:bottom w:type="dxa" w:w="80"/>
              <w:right w:type="dxa" w:w="110"/>
            </w:tcMar>
          </w:tcPr>
          <w:p>
            <w:pPr>
              <w:spacing w:after="50"/>
            </w:pPr>
            <w:r>
              <w:rPr>
                <w:b/>
                <w:bCs/>
                <w:sz w:val="17"/>
                <w:szCs w:val="17"/>
              </w:rPr>
              <w:t xml:space="preserve">By-programme view: unattached content is carried, reconciliation is independent, and a gap is visible</w:t>
            </w:r>
          </w:p>
          <w:p>
            <w:pPr>
              <w:spacing w:after="0"/>
            </w:pPr>
            <w:r>
              <w:rPr>
                <w:color w:val="475569"/>
                <w:sz w:val="15"/>
                <w:szCs w:val="15"/>
              </w:rPr>
              <w:t xml:space="preserve">Verify that content attached to no programme appears on a row of its own instead of vanishing, that every indicator lands on a total queried separately from the database, that the “requirement covered” rule expressed as a query says the same as the one applied to loaded objects, that a document whose programme contradicts its activity's is named, and — by rendering the component — that a failing reconciliation is displayed whereas a sound one displays nothing.</w:t>
            </w:r>
          </w:p>
        </w:tc>
        <w:tc>
          <w:tcPr>
            <w:tcW w:type="pct" w:w="45%"/>
            <w:tcMar>
              <w:top w:type="dxa" w:w="80"/>
              <w:left w:type="dxa" w:w="110"/>
              <w:bottom w:type="dxa" w:w="80"/>
              <w:right w:type="dxa" w:w="110"/>
            </w:tcMar>
          </w:tcPr>
          <w:p>
            <w:pPr>
              <w:spacing w:after="0"/>
            </w:pPr>
            <w:r>
              <w:rPr>
                <w:sz w:val="17"/>
                <w:szCs w:val="17"/>
              </w:rPr>
              <w:t xml:space="preserve">4 programme(s) and a non-empty “outside any programme” row (16 document(s), 15 requirement(s)); the 8 indicators land on totals queried SEPARATELY from the database; one requirement out of two uncovered gives 50 % and not 100 %, a parent covered by its child counts as covered, a programme with no requirement says nothing; both expressions of “covered” agree on 2 requirement(s); the document filed under a programme's activity without carrying that programme is named (OQD-ORPHELIN → Programme A); when rendered, a failing reconciliation is shown with its numbers and a sound one shows nothing</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884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OQ-40</w:t>
            </w:r>
          </w:p>
          <w:p>
            <w:pPr>
              <w:spacing w:after="0"/>
            </w:pPr>
            <w:r>
              <w:rPr>
                <w:color w:val="475569"/>
                <w:sz w:val="15"/>
                <w:szCs w:val="15"/>
              </w:rPr>
              <w:t xml:space="preserve">URS-43</w:t>
            </w:r>
          </w:p>
        </w:tc>
        <w:tc>
          <w:tcPr>
            <w:tcW w:type="pct" w:w="30%"/>
            <w:tcMar>
              <w:top w:type="dxa" w:w="80"/>
              <w:left w:type="dxa" w:w="110"/>
              <w:bottom w:type="dxa" w:w="80"/>
              <w:right w:type="dxa" w:w="110"/>
            </w:tcMar>
          </w:tcPr>
          <w:p>
            <w:pPr>
              <w:spacing w:after="50"/>
            </w:pPr>
            <w:r>
              <w:rPr>
                <w:b/>
                <w:bCs/>
                <w:sz w:val="17"/>
                <w:szCs w:val="17"/>
              </w:rPr>
              <w:t xml:space="preserve">Merged cells unfolded, columns not shifted, sheets named whatever produced the file</w:t>
            </w:r>
          </w:p>
          <w:p>
            <w:pPr>
              <w:spacing w:after="0"/>
            </w:pPr>
            <w:r>
              <w:rPr>
                <w:color w:val="475569"/>
                <w:sz w:val="15"/>
                <w:szCs w:val="15"/>
              </w:rPr>
              <w:t xml:space="preserve">Verify, on files produced by two THIRD-PARTY libraries, that a vertical merge has its value carried onto every row it spans, that a horizontal merge shifts no column while not being copied into neighbouring fields, that sheets carry their name even when the producer writes its attributes in a different order from Excel, that dates are made readable, and that a formula with no calculated value is counted and reported.</w:t>
            </w:r>
          </w:p>
        </w:tc>
        <w:tc>
          <w:tcPr>
            <w:tcW w:type="pct" w:w="45%"/>
            <w:tcMar>
              <w:top w:type="dxa" w:w="80"/>
              <w:left w:type="dxa" w:w="110"/>
              <w:bottom w:type="dxa" w:w="80"/>
              <w:right w:type="dxa" w:w="110"/>
            </w:tcMar>
          </w:tcPr>
          <w:p>
            <w:pPr>
              <w:spacing w:after="0"/>
            </w:pPr>
            <w:r>
              <w:rPr>
                <w:sz w:val="17"/>
                <w:szCs w:val="17"/>
              </w:rPr>
              <w:t xml:space="preserve">on two vectors produced by THIRD-PARTY libraries (openpyxl, docx): sheets named — openpyxl's workbook revealed that relationships were only read in Excel's attribute order, and that any file from another tool displayed as “sheet1”; vertical merge unfolded over 3 rows in the workbook and 3 in the document, each row keeping its own values; horizontal merge not copied into the neighbouring column and with no end-of-row shift; 5 dates made readable on the correct calendar origin; 2 formulas with no calculated value counted and reported; and no remark at all on a table that has nothing to report</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OQ-41</w:t>
            </w:r>
          </w:p>
          <w:p>
            <w:pPr>
              <w:spacing w:after="0"/>
            </w:pPr>
            <w:r>
              <w:rPr>
                <w:color w:val="475569"/>
                <w:sz w:val="15"/>
                <w:szCs w:val="15"/>
              </w:rPr>
              <w:t xml:space="preserve">URS-44</w:t>
            </w:r>
          </w:p>
        </w:tc>
        <w:tc>
          <w:tcPr>
            <w:tcW w:type="pct" w:w="30%"/>
            <w:tcMar>
              <w:top w:type="dxa" w:w="80"/>
              <w:left w:type="dxa" w:w="110"/>
              <w:bottom w:type="dxa" w:w="80"/>
              <w:right w:type="dxa" w:w="110"/>
            </w:tcMar>
          </w:tcPr>
          <w:p>
            <w:pPr>
              <w:spacing w:after="50"/>
            </w:pPr>
            <w:r>
              <w:rPr>
                <w:b/>
                <w:bCs/>
                <w:sz w:val="17"/>
                <w:szCs w:val="17"/>
              </w:rPr>
              <w:t xml:space="preserve">Delegated authentication: the token is verified, nobody is created, and signing stays local</w:t>
            </w:r>
          </w:p>
          <w:p>
            <w:pPr>
              <w:spacing w:after="0"/>
            </w:pPr>
            <w:r>
              <w:rPr>
                <w:color w:val="475569"/>
                <w:sz w:val="15"/>
                <w:szCs w:val="15"/>
              </w:rPr>
              <w:t xml:space="preserve">Verify, on tokens FORGED for the purpose, that an identity token is accepted only after checking its RS256 signature, issuer, audience, expiry and nonce; that “alg: none” and algorithm confusion are refused; that an incomplete or cleartext configuration is treated as absent; and — above all — that the signing path depends on no delegated-authentication module, so that the second component required by 21 CFR 11.200(a)(1) remains a local secret.</w:t>
            </w:r>
          </w:p>
        </w:tc>
        <w:tc>
          <w:tcPr>
            <w:tcW w:type="pct" w:w="45%"/>
            <w:tcMar>
              <w:top w:type="dxa" w:w="80"/>
              <w:left w:type="dxa" w:w="110"/>
              <w:bottom w:type="dxa" w:w="80"/>
              <w:right w:type="dxa" w:w="110"/>
            </w:tcMar>
          </w:tcPr>
          <w:p>
            <w:pPr>
              <w:spacing w:after="0"/>
            </w:pPr>
            <w:r>
              <w:rPr>
                <w:sz w:val="17"/>
                <w:szCs w:val="17"/>
              </w:rPr>
              <w:t xml:space="preserve">nominal token accepted and address normalised; 15 hostile tokens refused, including “alg: none”, RS256/HS256 confusion, a signature from another key, a payload altered after signing, unexpected issuer and audience, multiple audiences without an authorized party, an expired token, an absent then incorrect nonce, and an address not verified by the directory; configuration treated as absent when incomplete (4 variables exercised one by one) or when the issuer is not HTTPS; PKCE S256 whose challenge matches its verifier, state and nonce distinct and renewed at every request; 174 source file(s) re-read, no module outside the authentication shell depends on SSO, signature re-authentication still verifies a LOCAL secret, and the directory callback creates no person</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115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OQ-42</w:t>
            </w:r>
          </w:p>
          <w:p>
            <w:pPr>
              <w:spacing w:after="0"/>
            </w:pPr>
            <w:r>
              <w:rPr>
                <w:color w:val="475569"/>
                <w:sz w:val="15"/>
                <w:szCs w:val="15"/>
              </w:rPr>
              <w:t xml:space="preserve">URS-45</w:t>
            </w:r>
          </w:p>
        </w:tc>
        <w:tc>
          <w:tcPr>
            <w:tcW w:type="pct" w:w="30%"/>
            <w:tcMar>
              <w:top w:type="dxa" w:w="80"/>
              <w:left w:type="dxa" w:w="110"/>
              <w:bottom w:type="dxa" w:w="80"/>
              <w:right w:type="dxa" w:w="110"/>
            </w:tcMar>
          </w:tcPr>
          <w:p>
            <w:pPr>
              <w:spacing w:after="50"/>
            </w:pPr>
            <w:r>
              <w:rPr>
                <w:b/>
                <w:bCs/>
                <w:sz w:val="17"/>
                <w:szCs w:val="17"/>
              </w:rPr>
              <w:t xml:space="preserve">What depends on the database engine is inventoried, and the inventory is re-read from the source</w:t>
            </w:r>
          </w:p>
          <w:p>
            <w:pPr>
              <w:spacing w:after="0"/>
            </w:pPr>
            <w:r>
              <w:rPr>
                <w:color w:val="475569"/>
                <w:sz w:val="15"/>
                <w:szCs w:val="15"/>
              </w:rPr>
              <w:t xml:space="preserve">Verify that no engine-dependent point exists outside the declared inventory, that the detector actually finds the points it claims to watch — first among them the read-then-write of the audit chain head and its console mirror —, and that the engine property the search relies on is the documented one: observing case-insensitivity rather than assuming it.</w:t>
            </w:r>
          </w:p>
        </w:tc>
        <w:tc>
          <w:tcPr>
            <w:tcW w:type="pct" w:w="45%"/>
            <w:tcMar>
              <w:top w:type="dxa" w:w="80"/>
              <w:left w:type="dxa" w:w="110"/>
              <w:bottom w:type="dxa" w:w="80"/>
              <w:right w:type="dxa" w:w="110"/>
            </w:tcMar>
          </w:tcPr>
          <w:p>
            <w:pPr>
              <w:spacing w:after="0"/>
            </w:pPr>
            <w:r>
              <w:rPr>
                <w:sz w:val="17"/>
                <w:szCs w:val="17"/>
              </w:rPr>
              <w:t xml:space="preserve">35 engine-dependent point(s) found on the source and all declared — 4 PRAGMA statement(s), 2 read-then-write(s) of the chain head (the chaining AND its console mirror, this second copy having been found by the audit rather than anticipated), 27 “contains” search(es), the pinned provider and the migration lineage; the case-insensitivity of the qualified engine is OBSERVED rather than assumed (1 = 1); the schema still declares “sqlite” and the portability note states that the other engine is not offered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52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OQ-43</w:t>
            </w:r>
          </w:p>
          <w:p>
            <w:pPr>
              <w:spacing w:after="0"/>
            </w:pPr>
            <w:r>
              <w:rPr>
                <w:color w:val="475569"/>
                <w:sz w:val="15"/>
                <w:szCs w:val="15"/>
              </w:rPr>
              <w:t xml:space="preserve">URS-46</w:t>
            </w:r>
          </w:p>
        </w:tc>
        <w:tc>
          <w:tcPr>
            <w:tcW w:type="pct" w:w="30%"/>
            <w:tcMar>
              <w:top w:type="dxa" w:w="80"/>
              <w:left w:type="dxa" w:w="110"/>
              <w:bottom w:type="dxa" w:w="80"/>
              <w:right w:type="dxa" w:w="110"/>
            </w:tcMar>
          </w:tcPr>
          <w:p>
            <w:pPr>
              <w:spacing w:after="50"/>
            </w:pPr>
            <w:r>
              <w:rPr>
                <w:b/>
                <w:bCs/>
                <w:sz w:val="17"/>
                <w:szCs w:val="17"/>
              </w:rPr>
              <w:t xml:space="preserve">Read-only API: no write to the graph, token kept as a fingerprint, response reproducible</w:t>
            </w:r>
          </w:p>
          <w:p>
            <w:pPr>
              <w:spacing w:after="0"/>
            </w:pPr>
            <w:r>
              <w:rPr>
                <w:color w:val="475569"/>
                <w:sz w:val="15"/>
                <w:szCs w:val="15"/>
              </w:rPr>
              <w:t xml:space="preserve">Verify by re-reading the source that no API route writes to the design graph and that all go through the single guard; that a token is refused when absent, malformed, unknown then revoked, without the response distinguishing those cases; that it is kept only as a fingerprint; and that a response lets its recipient REPRODUCE the announced fingerprint by applying to the letter the rule written into the response.</w:t>
            </w:r>
          </w:p>
        </w:tc>
        <w:tc>
          <w:tcPr>
            <w:tcW w:type="pct" w:w="45%"/>
            <w:tcMar>
              <w:top w:type="dxa" w:w="80"/>
              <w:left w:type="dxa" w:w="110"/>
              <w:bottom w:type="dxa" w:w="80"/>
              <w:right w:type="dxa" w:w="110"/>
            </w:tcMar>
          </w:tcPr>
          <w:p>
            <w:pPr>
              <w:spacing w:after="0"/>
            </w:pPr>
            <w:r>
              <w:rPr>
                <w:sz w:val="17"/>
                <w:szCs w:val="17"/>
              </w:rPr>
              <w:t xml:space="preserve">4 API route(s) re-read: none writes to the database and all go through the single guard; the token module writes only on tokens themselves (issuance and last-used date); a token is refused when absent, empty, without the Bearer scheme, malformed, without prefix, unknown, then revoked — and the refusal distinguishes none of these cases; the token is kept only as its SHA-256 fingerprint, its clear value exists nowhere in the database; the announced fingerprint of a response is REPRODUCED by applying to the letter the rule written into that response, escapes included; and its anchor designates the audit-chain head at extraction time (rank 85). 3 resources published.</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24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OQ-44</w:t>
            </w:r>
          </w:p>
          <w:p>
            <w:pPr>
              <w:spacing w:after="0"/>
            </w:pPr>
            <w:r>
              <w:rPr>
                <w:color w:val="475569"/>
                <w:sz w:val="15"/>
                <w:szCs w:val="15"/>
              </w:rPr>
              <w:t xml:space="preserve">URS-47</w:t>
            </w:r>
          </w:p>
        </w:tc>
        <w:tc>
          <w:tcPr>
            <w:tcW w:type="pct" w:w="30%"/>
            <w:tcMar>
              <w:top w:type="dxa" w:w="80"/>
              <w:left w:type="dxa" w:w="110"/>
              <w:bottom w:type="dxa" w:w="80"/>
              <w:right w:type="dxa" w:w="110"/>
            </w:tcMar>
          </w:tcPr>
          <w:p>
            <w:pPr>
              <w:spacing w:after="50"/>
            </w:pPr>
            <w:r>
              <w:rPr>
                <w:b/>
                <w:bCs/>
                <w:sz w:val="17"/>
                <w:szCs w:val="17"/>
              </w:rPr>
              <w:t xml:space="preserve">PDF/A conformance pronounced by the reference implementation, witness included</w:t>
            </w:r>
          </w:p>
          <w:p>
            <w:pPr>
              <w:spacing w:after="0"/>
            </w:pPr>
            <w:r>
              <w:rPr>
                <w:color w:val="475569"/>
                <w:sz w:val="15"/>
                <w:szCs w:val="15"/>
              </w:rPr>
              <w:t xml:space="preserve">Submit to veraPDF — the reference implementation, external to this project — a document built to defeat it, and FIRST require that it reject a deliberately non-conformant file. A validator that can no longer say “no” would return a permanent green; the witness is therefore checked before anything else, and its passing would invalidate the entire run.</w:t>
            </w:r>
          </w:p>
        </w:tc>
        <w:tc>
          <w:tcPr>
            <w:tcW w:type="pct" w:w="45%"/>
            <w:tcMar>
              <w:top w:type="dxa" w:w="80"/>
              <w:left w:type="dxa" w:w="110"/>
              <w:bottom w:type="dxa" w:w="80"/>
              <w:right w:type="dxa" w:w="110"/>
            </w:tcMar>
          </w:tcPr>
          <w:p>
            <w:pPr>
              <w:spacing w:after="0"/>
            </w:pPr>
            <w:r>
              <w:rPr>
                <w:sz w:val="17"/>
                <w:szCs w:val="17"/>
              </w:rPr>
              <w:t xml:space="preserve">veraPDF 1.30.2 returned two verdicts on files produced during this case. The witness — no embedded font, no output intent, no XMP metadata, written byte by byte without going through Filum's modules — is REJECTED on 5 rule(s): the measurement discriminates. The torture document, gathering 7 character families (chemistry, Greek, mathematics, fractions, units, ideograms, emoji, diacritics) and having exercised 2 substitution(s) of absent glyphs, is declared CONFORMANT to the PDF/A-2b profile. The internal structural check returns the same verdict on the same file, and confirms zero references to the .notdef glyph.</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4979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OQ-45</w:t>
            </w:r>
          </w:p>
          <w:p>
            <w:pPr>
              <w:spacing w:after="0"/>
            </w:pPr>
            <w:r>
              <w:rPr>
                <w:color w:val="475569"/>
                <w:sz w:val="15"/>
                <w:szCs w:val="15"/>
              </w:rPr>
              <w:t xml:space="preserve">URS-48</w:t>
            </w:r>
          </w:p>
        </w:tc>
        <w:tc>
          <w:tcPr>
            <w:tcW w:type="pct" w:w="30%"/>
            <w:tcMar>
              <w:top w:type="dxa" w:w="80"/>
              <w:left w:type="dxa" w:w="110"/>
              <w:bottom w:type="dxa" w:w="80"/>
              <w:right w:type="dxa" w:w="110"/>
            </w:tcMar>
          </w:tcPr>
          <w:p>
            <w:pPr>
              <w:spacing w:after="50"/>
            </w:pPr>
            <w:r>
              <w:rPr>
                <w:b/>
                <w:bCs/>
                <w:sz w:val="17"/>
                <w:szCs w:val="17"/>
              </w:rPr>
              <w:t xml:space="preserve">Periodic review: due date computed, conclusion recorded, delay written before being erased</w:t>
            </w:r>
          </w:p>
          <w:p>
            <w:pPr>
              <w:spacing w:after="0"/>
            </w:pPr>
            <w:r>
              <w:rPr>
                <w:color w:val="475569"/>
                <w:sz w:val="15"/>
                <w:szCs w:val="15"/>
              </w:rPr>
              <w:t xml:space="preserve">Exercise the due-date computation where it most readily goes wrong — month ends —, verify that a review records WHO concluded WHAT, that the delay against the previous due date enters the trail BEFORE being replaced, and above all that a document declaring no interval stays entirely silent.</w:t>
            </w:r>
          </w:p>
        </w:tc>
        <w:tc>
          <w:tcPr>
            <w:tcW w:type="pct" w:w="45%"/>
            <w:tcMar>
              <w:top w:type="dxa" w:w="80"/>
              <w:left w:type="dxa" w:w="110"/>
              <w:bottom w:type="dxa" w:w="80"/>
              <w:right w:type="dxa" w:w="110"/>
            </w:tcMar>
          </w:tcPr>
          <w:p>
            <w:pPr>
              <w:spacing w:after="0"/>
            </w:pPr>
            <w:r>
              <w:rPr>
                <w:sz w:val="17"/>
                <w:szCs w:val="17"/>
              </w:rPr>
              <w:t xml:space="preserve">The due-date computation is exercised over 6 cases including four month ends: 31 January + 1 month yields 28 February, and 29 in a leap year — a calendar overflow would have slipped the due date by two or three days with nothing to signal it. A released procedure receives its effective date and its due date; a test report released under the same conditions receives NEITHER. A review held 92 days after the due date records its conclusion, its author, and writes THE DELAY to the trail before the due date is replaced. The stored due date of every document with an interval is RECOMPUTED from its source and compared. Refused: reviewing a draft, reviewing a document without an interval, and a conclusion outside the two admitted. Bounds reject 0, 121 and a non-integer value.</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240 ms</w:t>
            </w:r>
          </w:p>
        </w:tc>
      </w:tr>
      <w:tr>
        <w:tc>
          <w:tcPr>
            <w:tcW w:type="pct" w:w="13%"/>
            <w:shd w:fill="F8FAFC"/>
            <w:tcMar>
              <w:top w:type="dxa" w:w="80"/>
              <w:left w:type="dxa" w:w="110"/>
              <w:bottom w:type="dxa" w:w="80"/>
              <w:right w:type="dxa" w:w="110"/>
            </w:tcMar>
          </w:tcPr>
          <w:p>
            <w:pPr>
              <w:spacing w:after="50"/>
            </w:pPr>
            <w:r>
              <w:rPr>
                <w:b/>
                <w:bCs/>
                <w:color w:val="4338CA"/>
                <w:sz w:val="17"/>
                <w:szCs w:val="17"/>
              </w:rPr>
              <w:t xml:space="preserve">OQ-46</w:t>
            </w:r>
          </w:p>
          <w:p>
            <w:pPr>
              <w:spacing w:after="0"/>
            </w:pPr>
            <w:r>
              <w:rPr>
                <w:color w:val="475569"/>
                <w:sz w:val="15"/>
                <w:szCs w:val="15"/>
              </w:rPr>
              <w:t xml:space="preserve">URS-49</w:t>
            </w:r>
          </w:p>
        </w:tc>
        <w:tc>
          <w:tcPr>
            <w:tcW w:type="pct" w:w="30%"/>
            <w:tcMar>
              <w:top w:type="dxa" w:w="80"/>
              <w:left w:type="dxa" w:w="110"/>
              <w:bottom w:type="dxa" w:w="80"/>
              <w:right w:type="dxa" w:w="110"/>
            </w:tcMar>
          </w:tcPr>
          <w:p>
            <w:pPr>
              <w:spacing w:after="50"/>
            </w:pPr>
            <w:r>
              <w:rPr>
                <w:b/>
                <w:bCs/>
                <w:sz w:val="17"/>
                <w:szCs w:val="17"/>
              </w:rPr>
              <w:t xml:space="preserve">Controlled distribution: you acknowledge only for yourself, and a reading does not survive a revision</w:t>
            </w:r>
          </w:p>
          <w:p>
            <w:pPr>
              <w:spacing w:after="0"/>
            </w:pPr>
            <w:r>
              <w:rPr>
                <w:color w:val="475569"/>
                <w:sz w:val="15"/>
                <w:szCs w:val="15"/>
              </w:rPr>
              <w:t xml:space="preserve">Exercise the two rules everything rests on — nobody acknowledges on behalf of another, and releasing a revision puts everyone back to pending without erasing what had been read of the previous one — then verify that the distribution state is not held hostage by a deactivated person.</w:t>
            </w:r>
          </w:p>
        </w:tc>
        <w:tc>
          <w:tcPr>
            <w:tcW w:type="pct" w:w="45%"/>
            <w:tcMar>
              <w:top w:type="dxa" w:w="80"/>
              <w:left w:type="dxa" w:w="110"/>
              <w:bottom w:type="dxa" w:w="80"/>
              <w:right w:type="dxa" w:w="110"/>
            </w:tcMar>
          </w:tcPr>
          <w:p>
            <w:pPr>
              <w:spacing w:after="0"/>
            </w:pPr>
            <w:r>
              <w:rPr>
                <w:sz w:val="17"/>
                <w:szCs w:val="17"/>
              </w:rPr>
              <w:t xml:space="preserve">Three recipients placed on a procedure. A read acknowledgement is REFUSED on a draft — attesting to a text that can still change proves nothing about what will be applied. After release, the function accepts an acknowledgement only for the person named to it, and the SOURCE of the server action is re-read to establish that it accepts no identifier coming from a form: only the session identity acts. A second acknowledgement for the same person and revision is refused. A deactivated recipient is counted separately — the revision can be declared read without them, without them being deemed to have read it. Finally, opening a revision supersedes the three rows while PRESERVING their acknowledgements, creates three fresh ones for the same recipients, all pending: a version nobody opened cannot pass for read. The trail names who read what, in both languages.</w:t>
            </w:r>
          </w:p>
        </w:tc>
        <w:tc>
          <w:tcPr>
            <w:tcW w:type="pct" w:w="12%"/>
            <w:tcMar>
              <w:top w:type="dxa" w:w="80"/>
              <w:left w:type="dxa" w:w="110"/>
              <w:bottom w:type="dxa" w:w="80"/>
              <w:right w:type="dxa" w:w="110"/>
            </w:tcMar>
          </w:tcPr>
          <w:p>
            <w:pPr>
              <w:spacing w:after="40"/>
            </w:pPr>
            <w:r>
              <w:rPr>
                <w:b/>
                <w:bCs/>
                <w:color w:val="047857"/>
                <w:sz w:val="17"/>
                <w:szCs w:val="17"/>
              </w:rPr>
              <w:t xml:space="preserve">Conforming</w:t>
            </w:r>
          </w:p>
          <w:p>
            <w:pPr>
              <w:spacing w:after="0"/>
            </w:pPr>
            <w:r>
              <w:rPr>
                <w:color w:val="475569"/>
                <w:sz w:val="14"/>
                <w:szCs w:val="14"/>
              </w:rPr>
              <w:t xml:space="preserve">314 ms</w:t>
            </w:r>
          </w:p>
        </w:tc>
      </w:tr>
    </w:tbl>
    <w:p>
      <w:pPr>
        <w:pStyle w:val="Heading1"/>
        <w:spacing w:after="140" w:before="320"/>
      </w:pPr>
      <w:r>
        <w:t xml:space="preserve">6. Traceability matrix</w:t>
      </w:r>
    </w:p>
    <w:p>
      <w:pPr>
        <w:spacing w:after="140"/>
      </w:pPr>
      <w:r>
        <w:rPr>
          <w:sz w:val="20"/>
          <w:szCs w:val="20"/>
        </w:rPr>
        <w:t xml:space="preserve">Every requirement is linked to the case that verifies it, or is marked as carried over to performance qualification. A requirement with neither a case nor a carry-over would be an unverified requirement: there is none.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0E7FF"/>
            <w:tcMar>
              <w:top w:type="dxa" w:w="80"/>
              <w:left w:type="dxa" w:w="110"/>
              <w:bottom w:type="dxa" w:w="80"/>
              <w:right w:type="dxa" w:w="110"/>
            </w:tcMar>
          </w:tcPr>
          <w:p>
            <w:pPr>
              <w:spacing w:after="0"/>
            </w:pPr>
            <w:r>
              <w:rPr>
                <w:b/>
                <w:bCs/>
                <w:sz w:val="17"/>
                <w:szCs w:val="17"/>
              </w:rPr>
              <w:t xml:space="preserve">Requirement</w:t>
            </w:r>
          </w:p>
        </w:tc>
        <w:tc>
          <w:tcPr>
            <w:tcW w:type="pct" w:w="22%"/>
            <w:shd w:fill="E0E7FF"/>
            <w:tcMar>
              <w:top w:type="dxa" w:w="80"/>
              <w:left w:type="dxa" w:w="110"/>
              <w:bottom w:type="dxa" w:w="80"/>
              <w:right w:type="dxa" w:w="110"/>
            </w:tcMar>
          </w:tcPr>
          <w:p>
            <w:pPr>
              <w:spacing w:after="0"/>
            </w:pPr>
            <w:r>
              <w:rPr>
                <w:b/>
                <w:bCs/>
                <w:sz w:val="17"/>
                <w:szCs w:val="17"/>
              </w:rPr>
              <w:t xml:space="preserve">Verified by</w:t>
            </w:r>
          </w:p>
        </w:tc>
        <w:tc>
          <w:tcPr>
            <w:tcW w:type="pct" w:w="66%"/>
            <w:shd w:fill="E0E7FF"/>
            <w:tcMar>
              <w:top w:type="dxa" w:w="80"/>
              <w:left w:type="dxa" w:w="110"/>
              <w:bottom w:type="dxa" w:w="80"/>
              <w:right w:type="dxa" w:w="110"/>
            </w:tcMar>
          </w:tcPr>
          <w:p>
            <w:pPr>
              <w:spacing w:after="0"/>
            </w:pPr>
            <w:r>
              <w:rPr>
                <w:b/>
                <w:bCs/>
                <w:sz w:val="17"/>
                <w:szCs w:val="17"/>
              </w:rPr>
              <w:t xml:space="preserve">Nature of the evidence</w:t>
            </w:r>
          </w:p>
        </w:tc>
      </w:tr>
      <w:tr>
        <w:tc>
          <w:tcPr>
            <w:tcW w:type="pct" w:w="12%"/>
            <w:tcMar>
              <w:top w:type="dxa" w:w="80"/>
              <w:left w:type="dxa" w:w="110"/>
              <w:bottom w:type="dxa" w:w="80"/>
              <w:right w:type="dxa" w:w="110"/>
            </w:tcMar>
          </w:tcPr>
          <w:p>
            <w:pPr>
              <w:spacing w:after="0"/>
            </w:pPr>
            <w:r>
              <w:rPr>
                <w:b/>
                <w:bCs/>
                <w:color w:val="4338CA"/>
                <w:sz w:val="17"/>
                <w:szCs w:val="17"/>
              </w:rPr>
              <w:t xml:space="preserve">URS-01</w:t>
            </w:r>
          </w:p>
        </w:tc>
        <w:tc>
          <w:tcPr>
            <w:tcW w:type="pct" w:w="22%"/>
            <w:tcMar>
              <w:top w:type="dxa" w:w="80"/>
              <w:left w:type="dxa" w:w="110"/>
              <w:bottom w:type="dxa" w:w="80"/>
              <w:right w:type="dxa" w:w="110"/>
            </w:tcMar>
          </w:tcPr>
          <w:p>
            <w:pPr>
              <w:spacing w:after="0"/>
            </w:pPr>
            <w:r>
              <w:rPr>
                <w:b/>
                <w:bCs/>
                <w:color w:val="B45309"/>
                <w:sz w:val="17"/>
                <w:szCs w:val="17"/>
              </w:rPr>
              <w:t xml:space="preserve">Performance qualification</w:t>
            </w:r>
          </w:p>
        </w:tc>
        <w:tc>
          <w:tcPr>
            <w:tcW w:type="pct" w:w="66%"/>
            <w:tcMar>
              <w:top w:type="dxa" w:w="80"/>
              <w:left w:type="dxa" w:w="110"/>
              <w:bottom w:type="dxa" w:w="80"/>
              <w:right w:type="dxa" w:w="110"/>
            </w:tcMar>
          </w:tcPr>
          <w:p>
            <w:pPr>
              <w:spacing w:after="0"/>
            </w:pPr>
            <w:r>
              <w:rPr>
                <w:sz w:val="17"/>
                <w:szCs w:val="17"/>
              </w:rPr>
              <w:t xml:space="preserve">To be executed at your site: From a private browsing window, call a page and an export route without signing in: both must refuse.</w:t>
            </w:r>
          </w:p>
        </w:tc>
      </w:tr>
      <w:tr>
        <w:tc>
          <w:tcPr>
            <w:tcW w:type="pct" w:w="12%"/>
            <w:tcMar>
              <w:top w:type="dxa" w:w="80"/>
              <w:left w:type="dxa" w:w="110"/>
              <w:bottom w:type="dxa" w:w="80"/>
              <w:right w:type="dxa" w:w="110"/>
            </w:tcMar>
          </w:tcPr>
          <w:p>
            <w:pPr>
              <w:spacing w:after="0"/>
            </w:pPr>
            <w:r>
              <w:rPr>
                <w:b/>
                <w:bCs/>
                <w:color w:val="4338CA"/>
                <w:sz w:val="17"/>
                <w:szCs w:val="17"/>
              </w:rPr>
              <w:t xml:space="preserve">URS-02</w:t>
            </w:r>
          </w:p>
        </w:tc>
        <w:tc>
          <w:tcPr>
            <w:tcW w:type="pct" w:w="22%"/>
            <w:tcMar>
              <w:top w:type="dxa" w:w="80"/>
              <w:left w:type="dxa" w:w="110"/>
              <w:bottom w:type="dxa" w:w="80"/>
              <w:right w:type="dxa" w:w="110"/>
            </w:tcMar>
          </w:tcPr>
          <w:p>
            <w:pPr>
              <w:spacing w:after="0"/>
            </w:pPr>
            <w:r>
              <w:rPr>
                <w:b/>
                <w:bCs/>
                <w:color w:val="047857"/>
                <w:sz w:val="17"/>
                <w:szCs w:val="17"/>
              </w:rPr>
              <w:t xml:space="preserve">OQ-01</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URS-03</w:t>
            </w:r>
          </w:p>
        </w:tc>
        <w:tc>
          <w:tcPr>
            <w:tcW w:type="pct" w:w="22%"/>
            <w:tcMar>
              <w:top w:type="dxa" w:w="80"/>
              <w:left w:type="dxa" w:w="110"/>
              <w:bottom w:type="dxa" w:w="80"/>
              <w:right w:type="dxa" w:w="110"/>
            </w:tcMar>
          </w:tcPr>
          <w:p>
            <w:pPr>
              <w:spacing w:after="0"/>
            </w:pPr>
            <w:r>
              <w:rPr>
                <w:b/>
                <w:bCs/>
                <w:color w:val="047857"/>
                <w:sz w:val="17"/>
                <w:szCs w:val="17"/>
              </w:rPr>
              <w:t xml:space="preserve">OQ-11</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URS-04</w:t>
            </w:r>
          </w:p>
        </w:tc>
        <w:tc>
          <w:tcPr>
            <w:tcW w:type="pct" w:w="22%"/>
            <w:tcMar>
              <w:top w:type="dxa" w:w="80"/>
              <w:left w:type="dxa" w:w="110"/>
              <w:bottom w:type="dxa" w:w="80"/>
              <w:right w:type="dxa" w:w="110"/>
            </w:tcMar>
          </w:tcPr>
          <w:p>
            <w:pPr>
              <w:spacing w:after="0"/>
            </w:pPr>
            <w:r>
              <w:rPr>
                <w:b/>
                <w:bCs/>
                <w:color w:val="047857"/>
                <w:sz w:val="17"/>
                <w:szCs w:val="17"/>
              </w:rPr>
              <w:t xml:space="preserve">OQ-12</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URS-05</w:t>
            </w:r>
          </w:p>
        </w:tc>
        <w:tc>
          <w:tcPr>
            <w:tcW w:type="pct" w:w="22%"/>
            <w:tcMar>
              <w:top w:type="dxa" w:w="80"/>
              <w:left w:type="dxa" w:w="110"/>
              <w:bottom w:type="dxa" w:w="80"/>
              <w:right w:type="dxa" w:w="110"/>
            </w:tcMar>
          </w:tcPr>
          <w:p>
            <w:pPr>
              <w:spacing w:after="0"/>
            </w:pPr>
            <w:r>
              <w:rPr>
                <w:b/>
                <w:bCs/>
                <w:color w:val="B45309"/>
                <w:sz w:val="17"/>
                <w:szCs w:val="17"/>
              </w:rPr>
              <w:t xml:space="preserve">Performance qualification</w:t>
            </w:r>
          </w:p>
        </w:tc>
        <w:tc>
          <w:tcPr>
            <w:tcW w:type="pct" w:w="66%"/>
            <w:tcMar>
              <w:top w:type="dxa" w:w="80"/>
              <w:left w:type="dxa" w:w="110"/>
              <w:bottom w:type="dxa" w:w="80"/>
              <w:right w:type="dxa" w:w="110"/>
            </w:tcMar>
          </w:tcPr>
          <w:p>
            <w:pPr>
              <w:spacing w:after="0"/>
            </w:pPr>
            <w:r>
              <w:rPr>
                <w:sz w:val="17"/>
                <w:szCs w:val="17"/>
              </w:rPr>
              <w:t xml:space="preserve">To be executed at your site: Open the signature panel of a document in review: the password field is mandatory. Enter a wrong password: the signature is refused and the failure logged.</w:t>
            </w:r>
          </w:p>
        </w:tc>
      </w:tr>
      <w:tr>
        <w:tc>
          <w:tcPr>
            <w:tcW w:type="pct" w:w="12%"/>
            <w:tcMar>
              <w:top w:type="dxa" w:w="80"/>
              <w:left w:type="dxa" w:w="110"/>
              <w:bottom w:type="dxa" w:w="80"/>
              <w:right w:type="dxa" w:w="110"/>
            </w:tcMar>
          </w:tcPr>
          <w:p>
            <w:pPr>
              <w:spacing w:after="0"/>
            </w:pPr>
            <w:r>
              <w:rPr>
                <w:b/>
                <w:bCs/>
                <w:color w:val="4338CA"/>
                <w:sz w:val="17"/>
                <w:szCs w:val="17"/>
              </w:rPr>
              <w:t xml:space="preserve">URS-06</w:t>
            </w:r>
          </w:p>
        </w:tc>
        <w:tc>
          <w:tcPr>
            <w:tcW w:type="pct" w:w="22%"/>
            <w:tcMar>
              <w:top w:type="dxa" w:w="80"/>
              <w:left w:type="dxa" w:w="110"/>
              <w:bottom w:type="dxa" w:w="80"/>
              <w:right w:type="dxa" w:w="110"/>
            </w:tcMar>
          </w:tcPr>
          <w:p>
            <w:pPr>
              <w:spacing w:after="0"/>
            </w:pPr>
            <w:r>
              <w:rPr>
                <w:b/>
                <w:bCs/>
                <w:color w:val="047857"/>
                <w:sz w:val="17"/>
                <w:szCs w:val="17"/>
              </w:rPr>
              <w:t xml:space="preserve">OQ-02</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URS-07</w:t>
            </w:r>
          </w:p>
        </w:tc>
        <w:tc>
          <w:tcPr>
            <w:tcW w:type="pct" w:w="22%"/>
            <w:tcMar>
              <w:top w:type="dxa" w:w="80"/>
              <w:left w:type="dxa" w:w="110"/>
              <w:bottom w:type="dxa" w:w="80"/>
              <w:right w:type="dxa" w:w="110"/>
            </w:tcMar>
          </w:tcPr>
          <w:p>
            <w:pPr>
              <w:spacing w:after="0"/>
            </w:pPr>
            <w:r>
              <w:rPr>
                <w:b/>
                <w:bCs/>
                <w:color w:val="047857"/>
                <w:sz w:val="17"/>
                <w:szCs w:val="17"/>
              </w:rPr>
              <w:t xml:space="preserve">OQ-03</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URS-08</w:t>
            </w:r>
          </w:p>
        </w:tc>
        <w:tc>
          <w:tcPr>
            <w:tcW w:type="pct" w:w="22%"/>
            <w:tcMar>
              <w:top w:type="dxa" w:w="80"/>
              <w:left w:type="dxa" w:w="110"/>
              <w:bottom w:type="dxa" w:w="80"/>
              <w:right w:type="dxa" w:w="110"/>
            </w:tcMar>
          </w:tcPr>
          <w:p>
            <w:pPr>
              <w:spacing w:after="0"/>
            </w:pPr>
            <w:r>
              <w:rPr>
                <w:b/>
                <w:bCs/>
                <w:color w:val="047857"/>
                <w:sz w:val="17"/>
                <w:szCs w:val="17"/>
              </w:rPr>
              <w:t xml:space="preserve">OQ-05</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URS-09</w:t>
            </w:r>
          </w:p>
        </w:tc>
        <w:tc>
          <w:tcPr>
            <w:tcW w:type="pct" w:w="22%"/>
            <w:tcMar>
              <w:top w:type="dxa" w:w="80"/>
              <w:left w:type="dxa" w:w="110"/>
              <w:bottom w:type="dxa" w:w="80"/>
              <w:right w:type="dxa" w:w="110"/>
            </w:tcMar>
          </w:tcPr>
          <w:p>
            <w:pPr>
              <w:spacing w:after="0"/>
            </w:pPr>
            <w:r>
              <w:rPr>
                <w:b/>
                <w:bCs/>
                <w:color w:val="047857"/>
                <w:sz w:val="17"/>
                <w:szCs w:val="17"/>
              </w:rPr>
              <w:t xml:space="preserve">OQ-04</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URS-10</w:t>
            </w:r>
          </w:p>
        </w:tc>
        <w:tc>
          <w:tcPr>
            <w:tcW w:type="pct" w:w="22%"/>
            <w:tcMar>
              <w:top w:type="dxa" w:w="80"/>
              <w:left w:type="dxa" w:w="110"/>
              <w:bottom w:type="dxa" w:w="80"/>
              <w:right w:type="dxa" w:w="110"/>
            </w:tcMar>
          </w:tcPr>
          <w:p>
            <w:pPr>
              <w:spacing w:after="0"/>
            </w:pPr>
            <w:r>
              <w:rPr>
                <w:b/>
                <w:bCs/>
                <w:color w:val="047857"/>
                <w:sz w:val="17"/>
                <w:szCs w:val="17"/>
              </w:rPr>
              <w:t xml:space="preserve">OQ-06</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URS-11</w:t>
            </w:r>
          </w:p>
        </w:tc>
        <w:tc>
          <w:tcPr>
            <w:tcW w:type="pct" w:w="22%"/>
            <w:tcMar>
              <w:top w:type="dxa" w:w="80"/>
              <w:left w:type="dxa" w:w="110"/>
              <w:bottom w:type="dxa" w:w="80"/>
              <w:right w:type="dxa" w:w="110"/>
            </w:tcMar>
          </w:tcPr>
          <w:p>
            <w:pPr>
              <w:spacing w:after="0"/>
            </w:pPr>
            <w:r>
              <w:rPr>
                <w:b/>
                <w:bCs/>
                <w:color w:val="047857"/>
                <w:sz w:val="17"/>
                <w:szCs w:val="17"/>
              </w:rPr>
              <w:t xml:space="preserve">OQ-07</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URS-12</w:t>
            </w:r>
          </w:p>
        </w:tc>
        <w:tc>
          <w:tcPr>
            <w:tcW w:type="pct" w:w="22%"/>
            <w:tcMar>
              <w:top w:type="dxa" w:w="80"/>
              <w:left w:type="dxa" w:w="110"/>
              <w:bottom w:type="dxa" w:w="80"/>
              <w:right w:type="dxa" w:w="110"/>
            </w:tcMar>
          </w:tcPr>
          <w:p>
            <w:pPr>
              <w:spacing w:after="0"/>
            </w:pPr>
            <w:r>
              <w:rPr>
                <w:b/>
                <w:bCs/>
                <w:color w:val="047857"/>
                <w:sz w:val="17"/>
                <w:szCs w:val="17"/>
              </w:rPr>
              <w:t xml:space="preserve">OQ-08</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URS-13</w:t>
            </w:r>
          </w:p>
        </w:tc>
        <w:tc>
          <w:tcPr>
            <w:tcW w:type="pct" w:w="22%"/>
            <w:tcMar>
              <w:top w:type="dxa" w:w="80"/>
              <w:left w:type="dxa" w:w="110"/>
              <w:bottom w:type="dxa" w:w="80"/>
              <w:right w:type="dxa" w:w="110"/>
            </w:tcMar>
          </w:tcPr>
          <w:p>
            <w:pPr>
              <w:spacing w:after="0"/>
            </w:pPr>
            <w:r>
              <w:rPr>
                <w:b/>
                <w:bCs/>
                <w:color w:val="047857"/>
                <w:sz w:val="17"/>
                <w:szCs w:val="17"/>
              </w:rPr>
              <w:t xml:space="preserve">OQ-09</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URS-14</w:t>
            </w:r>
          </w:p>
        </w:tc>
        <w:tc>
          <w:tcPr>
            <w:tcW w:type="pct" w:w="22%"/>
            <w:tcMar>
              <w:top w:type="dxa" w:w="80"/>
              <w:left w:type="dxa" w:w="110"/>
              <w:bottom w:type="dxa" w:w="80"/>
              <w:right w:type="dxa" w:w="110"/>
            </w:tcMar>
          </w:tcPr>
          <w:p>
            <w:pPr>
              <w:spacing w:after="0"/>
            </w:pPr>
            <w:r>
              <w:rPr>
                <w:b/>
                <w:bCs/>
                <w:color w:val="047857"/>
                <w:sz w:val="17"/>
                <w:szCs w:val="17"/>
              </w:rPr>
              <w:t xml:space="preserve">OQ-10</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URS-15</w:t>
            </w:r>
          </w:p>
        </w:tc>
        <w:tc>
          <w:tcPr>
            <w:tcW w:type="pct" w:w="22%"/>
            <w:tcMar>
              <w:top w:type="dxa" w:w="80"/>
              <w:left w:type="dxa" w:w="110"/>
              <w:bottom w:type="dxa" w:w="80"/>
              <w:right w:type="dxa" w:w="110"/>
            </w:tcMar>
          </w:tcPr>
          <w:p>
            <w:pPr>
              <w:spacing w:after="0"/>
            </w:pPr>
            <w:r>
              <w:rPr>
                <w:b/>
                <w:bCs/>
                <w:color w:val="047857"/>
                <w:sz w:val="17"/>
                <w:szCs w:val="17"/>
              </w:rPr>
              <w:t xml:space="preserve">OQ-16</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URS-16</w:t>
            </w:r>
          </w:p>
        </w:tc>
        <w:tc>
          <w:tcPr>
            <w:tcW w:type="pct" w:w="22%"/>
            <w:tcMar>
              <w:top w:type="dxa" w:w="80"/>
              <w:left w:type="dxa" w:w="110"/>
              <w:bottom w:type="dxa" w:w="80"/>
              <w:right w:type="dxa" w:w="110"/>
            </w:tcMar>
          </w:tcPr>
          <w:p>
            <w:pPr>
              <w:spacing w:after="0"/>
            </w:pPr>
            <w:r>
              <w:rPr>
                <w:b/>
                <w:bCs/>
                <w:color w:val="047857"/>
                <w:sz w:val="17"/>
                <w:szCs w:val="17"/>
              </w:rPr>
              <w:t xml:space="preserve">OQ-14</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URS-17</w:t>
            </w:r>
          </w:p>
        </w:tc>
        <w:tc>
          <w:tcPr>
            <w:tcW w:type="pct" w:w="22%"/>
            <w:tcMar>
              <w:top w:type="dxa" w:w="80"/>
              <w:left w:type="dxa" w:w="110"/>
              <w:bottom w:type="dxa" w:w="80"/>
              <w:right w:type="dxa" w:w="110"/>
            </w:tcMar>
          </w:tcPr>
          <w:p>
            <w:pPr>
              <w:spacing w:after="0"/>
            </w:pPr>
            <w:r>
              <w:rPr>
                <w:b/>
                <w:bCs/>
                <w:color w:val="047857"/>
                <w:sz w:val="17"/>
                <w:szCs w:val="17"/>
              </w:rPr>
              <w:t xml:space="preserve">OQ-15</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URS-18</w:t>
            </w:r>
          </w:p>
        </w:tc>
        <w:tc>
          <w:tcPr>
            <w:tcW w:type="pct" w:w="22%"/>
            <w:tcMar>
              <w:top w:type="dxa" w:w="80"/>
              <w:left w:type="dxa" w:w="110"/>
              <w:bottom w:type="dxa" w:w="80"/>
              <w:right w:type="dxa" w:w="110"/>
            </w:tcMar>
          </w:tcPr>
          <w:p>
            <w:pPr>
              <w:spacing w:after="0"/>
            </w:pPr>
            <w:r>
              <w:rPr>
                <w:b/>
                <w:bCs/>
                <w:color w:val="047857"/>
                <w:sz w:val="17"/>
                <w:szCs w:val="17"/>
              </w:rPr>
              <w:t xml:space="preserve">OQ-13</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URS-19</w:t>
            </w:r>
          </w:p>
        </w:tc>
        <w:tc>
          <w:tcPr>
            <w:tcW w:type="pct" w:w="22%"/>
            <w:tcMar>
              <w:top w:type="dxa" w:w="80"/>
              <w:left w:type="dxa" w:w="110"/>
              <w:bottom w:type="dxa" w:w="80"/>
              <w:right w:type="dxa" w:w="110"/>
            </w:tcMar>
          </w:tcPr>
          <w:p>
            <w:pPr>
              <w:spacing w:after="0"/>
            </w:pPr>
            <w:r>
              <w:rPr>
                <w:b/>
                <w:bCs/>
                <w:color w:val="B45309"/>
                <w:sz w:val="17"/>
                <w:szCs w:val="17"/>
              </w:rPr>
              <w:t xml:space="preserve">Performance qualification</w:t>
            </w:r>
          </w:p>
        </w:tc>
        <w:tc>
          <w:tcPr>
            <w:tcW w:type="pct" w:w="66%"/>
            <w:tcMar>
              <w:top w:type="dxa" w:w="80"/>
              <w:left w:type="dxa" w:w="110"/>
              <w:bottom w:type="dxa" w:w="80"/>
              <w:right w:type="dxa" w:w="110"/>
            </w:tcMar>
          </w:tcPr>
          <w:p>
            <w:pPr>
              <w:spacing w:after="0"/>
            </w:pPr>
            <w:r>
              <w:rPr>
                <w:sz w:val="17"/>
                <w:szCs w:val="17"/>
              </w:rPr>
              <w:t xml:space="preserve">To be executed at your site: Open the same requirement for editing in two browsers, save in the first, then in the second: the second is refused with an explicit message and the input is preserved.</w:t>
            </w:r>
          </w:p>
        </w:tc>
      </w:tr>
      <w:tr>
        <w:tc>
          <w:tcPr>
            <w:tcW w:type="pct" w:w="12%"/>
            <w:tcMar>
              <w:top w:type="dxa" w:w="80"/>
              <w:left w:type="dxa" w:w="110"/>
              <w:bottom w:type="dxa" w:w="80"/>
              <w:right w:type="dxa" w:w="110"/>
            </w:tcMar>
          </w:tcPr>
          <w:p>
            <w:pPr>
              <w:spacing w:after="0"/>
            </w:pPr>
            <w:r>
              <w:rPr>
                <w:b/>
                <w:bCs/>
                <w:color w:val="4338CA"/>
                <w:sz w:val="17"/>
                <w:szCs w:val="17"/>
              </w:rPr>
              <w:t xml:space="preserve">URS-20</w:t>
            </w:r>
          </w:p>
        </w:tc>
        <w:tc>
          <w:tcPr>
            <w:tcW w:type="pct" w:w="22%"/>
            <w:tcMar>
              <w:top w:type="dxa" w:w="80"/>
              <w:left w:type="dxa" w:w="110"/>
              <w:bottom w:type="dxa" w:w="80"/>
              <w:right w:type="dxa" w:w="110"/>
            </w:tcMar>
          </w:tcPr>
          <w:p>
            <w:pPr>
              <w:spacing w:after="0"/>
            </w:pPr>
            <w:r>
              <w:rPr>
                <w:b/>
                <w:bCs/>
                <w:color w:val="B45309"/>
                <w:sz w:val="17"/>
                <w:szCs w:val="17"/>
              </w:rPr>
              <w:t xml:space="preserve">Performance qualification</w:t>
            </w:r>
          </w:p>
        </w:tc>
        <w:tc>
          <w:tcPr>
            <w:tcW w:type="pct" w:w="66%"/>
            <w:tcMar>
              <w:top w:type="dxa" w:w="80"/>
              <w:left w:type="dxa" w:w="110"/>
              <w:bottom w:type="dxa" w:w="80"/>
              <w:right w:type="dxa" w:w="110"/>
            </w:tcMar>
          </w:tcPr>
          <w:p>
            <w:pPr>
              <w:spacing w:after="0"/>
            </w:pPr>
            <w:r>
              <w:rPr>
                <w:sz w:val="17"/>
                <w:szCs w:val="17"/>
              </w:rPr>
              <w:t xml:space="preserve">To be executed at your site: Read the version number at the foot of the sidebar and record it in the installation report.</w:t>
            </w:r>
          </w:p>
        </w:tc>
      </w:tr>
      <w:tr>
        <w:tc>
          <w:tcPr>
            <w:tcW w:type="pct" w:w="12%"/>
            <w:tcMar>
              <w:top w:type="dxa" w:w="80"/>
              <w:left w:type="dxa" w:w="110"/>
              <w:bottom w:type="dxa" w:w="80"/>
              <w:right w:type="dxa" w:w="110"/>
            </w:tcMar>
          </w:tcPr>
          <w:p>
            <w:pPr>
              <w:spacing w:after="0"/>
            </w:pPr>
            <w:r>
              <w:rPr>
                <w:b/>
                <w:bCs/>
                <w:color w:val="4338CA"/>
                <w:sz w:val="17"/>
                <w:szCs w:val="17"/>
              </w:rPr>
              <w:t xml:space="preserve">URS-21</w:t>
            </w:r>
          </w:p>
        </w:tc>
        <w:tc>
          <w:tcPr>
            <w:tcW w:type="pct" w:w="22%"/>
            <w:tcMar>
              <w:top w:type="dxa" w:w="80"/>
              <w:left w:type="dxa" w:w="110"/>
              <w:bottom w:type="dxa" w:w="80"/>
              <w:right w:type="dxa" w:w="110"/>
            </w:tcMar>
          </w:tcPr>
          <w:p>
            <w:pPr>
              <w:spacing w:after="0"/>
            </w:pPr>
            <w:r>
              <w:rPr>
                <w:b/>
                <w:bCs/>
                <w:color w:val="047857"/>
                <w:sz w:val="17"/>
                <w:szCs w:val="17"/>
              </w:rPr>
              <w:t xml:space="preserve">OQ-17</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URS-22</w:t>
            </w:r>
          </w:p>
        </w:tc>
        <w:tc>
          <w:tcPr>
            <w:tcW w:type="pct" w:w="22%"/>
            <w:tcMar>
              <w:top w:type="dxa" w:w="80"/>
              <w:left w:type="dxa" w:w="110"/>
              <w:bottom w:type="dxa" w:w="80"/>
              <w:right w:type="dxa" w:w="110"/>
            </w:tcMar>
          </w:tcPr>
          <w:p>
            <w:pPr>
              <w:spacing w:after="0"/>
            </w:pPr>
            <w:r>
              <w:rPr>
                <w:b/>
                <w:bCs/>
                <w:color w:val="047857"/>
                <w:sz w:val="17"/>
                <w:szCs w:val="17"/>
              </w:rPr>
              <w:t xml:space="preserve">OQ-18</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URS-23</w:t>
            </w:r>
          </w:p>
        </w:tc>
        <w:tc>
          <w:tcPr>
            <w:tcW w:type="pct" w:w="22%"/>
            <w:tcMar>
              <w:top w:type="dxa" w:w="80"/>
              <w:left w:type="dxa" w:w="110"/>
              <w:bottom w:type="dxa" w:w="80"/>
              <w:right w:type="dxa" w:w="110"/>
            </w:tcMar>
          </w:tcPr>
          <w:p>
            <w:pPr>
              <w:spacing w:after="0"/>
            </w:pPr>
            <w:r>
              <w:rPr>
                <w:b/>
                <w:bCs/>
                <w:color w:val="047857"/>
                <w:sz w:val="17"/>
                <w:szCs w:val="17"/>
              </w:rPr>
              <w:t xml:space="preserve">OQ-19</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URS-24</w:t>
            </w:r>
          </w:p>
        </w:tc>
        <w:tc>
          <w:tcPr>
            <w:tcW w:type="pct" w:w="22%"/>
            <w:tcMar>
              <w:top w:type="dxa" w:w="80"/>
              <w:left w:type="dxa" w:w="110"/>
              <w:bottom w:type="dxa" w:w="80"/>
              <w:right w:type="dxa" w:w="110"/>
            </w:tcMar>
          </w:tcPr>
          <w:p>
            <w:pPr>
              <w:spacing w:after="0"/>
            </w:pPr>
            <w:r>
              <w:rPr>
                <w:b/>
                <w:bCs/>
                <w:color w:val="047857"/>
                <w:sz w:val="17"/>
                <w:szCs w:val="17"/>
              </w:rPr>
              <w:t xml:space="preserve">OQ-20</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URS-25</w:t>
            </w:r>
          </w:p>
        </w:tc>
        <w:tc>
          <w:tcPr>
            <w:tcW w:type="pct" w:w="22%"/>
            <w:tcMar>
              <w:top w:type="dxa" w:w="80"/>
              <w:left w:type="dxa" w:w="110"/>
              <w:bottom w:type="dxa" w:w="80"/>
              <w:right w:type="dxa" w:w="110"/>
            </w:tcMar>
          </w:tcPr>
          <w:p>
            <w:pPr>
              <w:spacing w:after="0"/>
            </w:pPr>
            <w:r>
              <w:rPr>
                <w:b/>
                <w:bCs/>
                <w:color w:val="047857"/>
                <w:sz w:val="17"/>
                <w:szCs w:val="17"/>
              </w:rPr>
              <w:t xml:space="preserve">OQ-21</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URS-26</w:t>
            </w:r>
          </w:p>
        </w:tc>
        <w:tc>
          <w:tcPr>
            <w:tcW w:type="pct" w:w="22%"/>
            <w:tcMar>
              <w:top w:type="dxa" w:w="80"/>
              <w:left w:type="dxa" w:w="110"/>
              <w:bottom w:type="dxa" w:w="80"/>
              <w:right w:type="dxa" w:w="110"/>
            </w:tcMar>
          </w:tcPr>
          <w:p>
            <w:pPr>
              <w:spacing w:after="0"/>
            </w:pPr>
            <w:r>
              <w:rPr>
                <w:b/>
                <w:bCs/>
                <w:color w:val="047857"/>
                <w:sz w:val="17"/>
                <w:szCs w:val="17"/>
              </w:rPr>
              <w:t xml:space="preserve">OQ-22</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URS-27</w:t>
            </w:r>
          </w:p>
        </w:tc>
        <w:tc>
          <w:tcPr>
            <w:tcW w:type="pct" w:w="22%"/>
            <w:tcMar>
              <w:top w:type="dxa" w:w="80"/>
              <w:left w:type="dxa" w:w="110"/>
              <w:bottom w:type="dxa" w:w="80"/>
              <w:right w:type="dxa" w:w="110"/>
            </w:tcMar>
          </w:tcPr>
          <w:p>
            <w:pPr>
              <w:spacing w:after="0"/>
            </w:pPr>
            <w:r>
              <w:rPr>
                <w:b/>
                <w:bCs/>
                <w:color w:val="047857"/>
                <w:sz w:val="17"/>
                <w:szCs w:val="17"/>
              </w:rPr>
              <w:t xml:space="preserve">OQ-23</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URS-28</w:t>
            </w:r>
          </w:p>
        </w:tc>
        <w:tc>
          <w:tcPr>
            <w:tcW w:type="pct" w:w="22%"/>
            <w:tcMar>
              <w:top w:type="dxa" w:w="80"/>
              <w:left w:type="dxa" w:w="110"/>
              <w:bottom w:type="dxa" w:w="80"/>
              <w:right w:type="dxa" w:w="110"/>
            </w:tcMar>
          </w:tcPr>
          <w:p>
            <w:pPr>
              <w:spacing w:after="0"/>
            </w:pPr>
            <w:r>
              <w:rPr>
                <w:b/>
                <w:bCs/>
                <w:color w:val="047857"/>
                <w:sz w:val="17"/>
                <w:szCs w:val="17"/>
              </w:rPr>
              <w:t xml:space="preserve">OQ-24</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URS-29</w:t>
            </w:r>
          </w:p>
        </w:tc>
        <w:tc>
          <w:tcPr>
            <w:tcW w:type="pct" w:w="22%"/>
            <w:tcMar>
              <w:top w:type="dxa" w:w="80"/>
              <w:left w:type="dxa" w:w="110"/>
              <w:bottom w:type="dxa" w:w="80"/>
              <w:right w:type="dxa" w:w="110"/>
            </w:tcMar>
          </w:tcPr>
          <w:p>
            <w:pPr>
              <w:spacing w:after="0"/>
            </w:pPr>
            <w:r>
              <w:rPr>
                <w:b/>
                <w:bCs/>
                <w:color w:val="047857"/>
                <w:sz w:val="17"/>
                <w:szCs w:val="17"/>
              </w:rPr>
              <w:t xml:space="preserve">OQ-25</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URS-30</w:t>
            </w:r>
          </w:p>
        </w:tc>
        <w:tc>
          <w:tcPr>
            <w:tcW w:type="pct" w:w="22%"/>
            <w:tcMar>
              <w:top w:type="dxa" w:w="80"/>
              <w:left w:type="dxa" w:w="110"/>
              <w:bottom w:type="dxa" w:w="80"/>
              <w:right w:type="dxa" w:w="110"/>
            </w:tcMar>
          </w:tcPr>
          <w:p>
            <w:pPr>
              <w:spacing w:after="0"/>
            </w:pPr>
            <w:r>
              <w:rPr>
                <w:b/>
                <w:bCs/>
                <w:color w:val="047857"/>
                <w:sz w:val="17"/>
                <w:szCs w:val="17"/>
              </w:rPr>
              <w:t xml:space="preserve">OQ-26</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URS-31</w:t>
            </w:r>
          </w:p>
        </w:tc>
        <w:tc>
          <w:tcPr>
            <w:tcW w:type="pct" w:w="22%"/>
            <w:tcMar>
              <w:top w:type="dxa" w:w="80"/>
              <w:left w:type="dxa" w:w="110"/>
              <w:bottom w:type="dxa" w:w="80"/>
              <w:right w:type="dxa" w:w="110"/>
            </w:tcMar>
          </w:tcPr>
          <w:p>
            <w:pPr>
              <w:spacing w:after="0"/>
            </w:pPr>
            <w:r>
              <w:rPr>
                <w:b/>
                <w:bCs/>
                <w:color w:val="047857"/>
                <w:sz w:val="17"/>
                <w:szCs w:val="17"/>
              </w:rPr>
              <w:t xml:space="preserve">OQ-27, OQ-28</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URS-32</w:t>
            </w:r>
          </w:p>
        </w:tc>
        <w:tc>
          <w:tcPr>
            <w:tcW w:type="pct" w:w="22%"/>
            <w:tcMar>
              <w:top w:type="dxa" w:w="80"/>
              <w:left w:type="dxa" w:w="110"/>
              <w:bottom w:type="dxa" w:w="80"/>
              <w:right w:type="dxa" w:w="110"/>
            </w:tcMar>
          </w:tcPr>
          <w:p>
            <w:pPr>
              <w:spacing w:after="0"/>
            </w:pPr>
            <w:r>
              <w:rPr>
                <w:b/>
                <w:bCs/>
                <w:color w:val="047857"/>
                <w:sz w:val="17"/>
                <w:szCs w:val="17"/>
              </w:rPr>
              <w:t xml:space="preserve">OQ-29</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URS-33</w:t>
            </w:r>
          </w:p>
        </w:tc>
        <w:tc>
          <w:tcPr>
            <w:tcW w:type="pct" w:w="22%"/>
            <w:tcMar>
              <w:top w:type="dxa" w:w="80"/>
              <w:left w:type="dxa" w:w="110"/>
              <w:bottom w:type="dxa" w:w="80"/>
              <w:right w:type="dxa" w:w="110"/>
            </w:tcMar>
          </w:tcPr>
          <w:p>
            <w:pPr>
              <w:spacing w:after="0"/>
            </w:pPr>
            <w:r>
              <w:rPr>
                <w:b/>
                <w:bCs/>
                <w:color w:val="047857"/>
                <w:sz w:val="17"/>
                <w:szCs w:val="17"/>
              </w:rPr>
              <w:t xml:space="preserve">OQ-30</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URS-34</w:t>
            </w:r>
          </w:p>
        </w:tc>
        <w:tc>
          <w:tcPr>
            <w:tcW w:type="pct" w:w="22%"/>
            <w:tcMar>
              <w:top w:type="dxa" w:w="80"/>
              <w:left w:type="dxa" w:w="110"/>
              <w:bottom w:type="dxa" w:w="80"/>
              <w:right w:type="dxa" w:w="110"/>
            </w:tcMar>
          </w:tcPr>
          <w:p>
            <w:pPr>
              <w:spacing w:after="0"/>
            </w:pPr>
            <w:r>
              <w:rPr>
                <w:b/>
                <w:bCs/>
                <w:color w:val="047857"/>
                <w:sz w:val="17"/>
                <w:szCs w:val="17"/>
              </w:rPr>
              <w:t xml:space="preserve">OQ-31</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URS-35</w:t>
            </w:r>
          </w:p>
        </w:tc>
        <w:tc>
          <w:tcPr>
            <w:tcW w:type="pct" w:w="22%"/>
            <w:tcMar>
              <w:top w:type="dxa" w:w="80"/>
              <w:left w:type="dxa" w:w="110"/>
              <w:bottom w:type="dxa" w:w="80"/>
              <w:right w:type="dxa" w:w="110"/>
            </w:tcMar>
          </w:tcPr>
          <w:p>
            <w:pPr>
              <w:spacing w:after="0"/>
            </w:pPr>
            <w:r>
              <w:rPr>
                <w:b/>
                <w:bCs/>
                <w:color w:val="047857"/>
                <w:sz w:val="17"/>
                <w:szCs w:val="17"/>
              </w:rPr>
              <w:t xml:space="preserve">OQ-32</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URS-36</w:t>
            </w:r>
          </w:p>
        </w:tc>
        <w:tc>
          <w:tcPr>
            <w:tcW w:type="pct" w:w="22%"/>
            <w:tcMar>
              <w:top w:type="dxa" w:w="80"/>
              <w:left w:type="dxa" w:w="110"/>
              <w:bottom w:type="dxa" w:w="80"/>
              <w:right w:type="dxa" w:w="110"/>
            </w:tcMar>
          </w:tcPr>
          <w:p>
            <w:pPr>
              <w:spacing w:after="0"/>
            </w:pPr>
            <w:r>
              <w:rPr>
                <w:b/>
                <w:bCs/>
                <w:color w:val="047857"/>
                <w:sz w:val="17"/>
                <w:szCs w:val="17"/>
              </w:rPr>
              <w:t xml:space="preserve">OQ-33</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URS-37</w:t>
            </w:r>
          </w:p>
        </w:tc>
        <w:tc>
          <w:tcPr>
            <w:tcW w:type="pct" w:w="22%"/>
            <w:tcMar>
              <w:top w:type="dxa" w:w="80"/>
              <w:left w:type="dxa" w:w="110"/>
              <w:bottom w:type="dxa" w:w="80"/>
              <w:right w:type="dxa" w:w="110"/>
            </w:tcMar>
          </w:tcPr>
          <w:p>
            <w:pPr>
              <w:spacing w:after="0"/>
            </w:pPr>
            <w:r>
              <w:rPr>
                <w:b/>
                <w:bCs/>
                <w:color w:val="047857"/>
                <w:sz w:val="17"/>
                <w:szCs w:val="17"/>
              </w:rPr>
              <w:t xml:space="preserve">OQ-34</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URS-38</w:t>
            </w:r>
          </w:p>
        </w:tc>
        <w:tc>
          <w:tcPr>
            <w:tcW w:type="pct" w:w="22%"/>
            <w:tcMar>
              <w:top w:type="dxa" w:w="80"/>
              <w:left w:type="dxa" w:w="110"/>
              <w:bottom w:type="dxa" w:w="80"/>
              <w:right w:type="dxa" w:w="110"/>
            </w:tcMar>
          </w:tcPr>
          <w:p>
            <w:pPr>
              <w:spacing w:after="0"/>
            </w:pPr>
            <w:r>
              <w:rPr>
                <w:b/>
                <w:bCs/>
                <w:color w:val="047857"/>
                <w:sz w:val="17"/>
                <w:szCs w:val="17"/>
              </w:rPr>
              <w:t xml:space="preserve">OQ-35</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URS-39</w:t>
            </w:r>
          </w:p>
        </w:tc>
        <w:tc>
          <w:tcPr>
            <w:tcW w:type="pct" w:w="22%"/>
            <w:tcMar>
              <w:top w:type="dxa" w:w="80"/>
              <w:left w:type="dxa" w:w="110"/>
              <w:bottom w:type="dxa" w:w="80"/>
              <w:right w:type="dxa" w:w="110"/>
            </w:tcMar>
          </w:tcPr>
          <w:p>
            <w:pPr>
              <w:spacing w:after="0"/>
            </w:pPr>
            <w:r>
              <w:rPr>
                <w:b/>
                <w:bCs/>
                <w:color w:val="047857"/>
                <w:sz w:val="17"/>
                <w:szCs w:val="17"/>
              </w:rPr>
              <w:t xml:space="preserve">OQ-36</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URS-40</w:t>
            </w:r>
          </w:p>
        </w:tc>
        <w:tc>
          <w:tcPr>
            <w:tcW w:type="pct" w:w="22%"/>
            <w:tcMar>
              <w:top w:type="dxa" w:w="80"/>
              <w:left w:type="dxa" w:w="110"/>
              <w:bottom w:type="dxa" w:w="80"/>
              <w:right w:type="dxa" w:w="110"/>
            </w:tcMar>
          </w:tcPr>
          <w:p>
            <w:pPr>
              <w:spacing w:after="0"/>
            </w:pPr>
            <w:r>
              <w:rPr>
                <w:b/>
                <w:bCs/>
                <w:color w:val="047857"/>
                <w:sz w:val="17"/>
                <w:szCs w:val="17"/>
              </w:rPr>
              <w:t xml:space="preserve">OQ-37</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URS-41</w:t>
            </w:r>
          </w:p>
        </w:tc>
        <w:tc>
          <w:tcPr>
            <w:tcW w:type="pct" w:w="22%"/>
            <w:tcMar>
              <w:top w:type="dxa" w:w="80"/>
              <w:left w:type="dxa" w:w="110"/>
              <w:bottom w:type="dxa" w:w="80"/>
              <w:right w:type="dxa" w:w="110"/>
            </w:tcMar>
          </w:tcPr>
          <w:p>
            <w:pPr>
              <w:spacing w:after="0"/>
            </w:pPr>
            <w:r>
              <w:rPr>
                <w:b/>
                <w:bCs/>
                <w:color w:val="047857"/>
                <w:sz w:val="17"/>
                <w:szCs w:val="17"/>
              </w:rPr>
              <w:t xml:space="preserve">OQ-38</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URS-42</w:t>
            </w:r>
          </w:p>
        </w:tc>
        <w:tc>
          <w:tcPr>
            <w:tcW w:type="pct" w:w="22%"/>
            <w:tcMar>
              <w:top w:type="dxa" w:w="80"/>
              <w:left w:type="dxa" w:w="110"/>
              <w:bottom w:type="dxa" w:w="80"/>
              <w:right w:type="dxa" w:w="110"/>
            </w:tcMar>
          </w:tcPr>
          <w:p>
            <w:pPr>
              <w:spacing w:after="0"/>
            </w:pPr>
            <w:r>
              <w:rPr>
                <w:b/>
                <w:bCs/>
                <w:color w:val="047857"/>
                <w:sz w:val="17"/>
                <w:szCs w:val="17"/>
              </w:rPr>
              <w:t xml:space="preserve">OQ-39</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URS-43</w:t>
            </w:r>
          </w:p>
        </w:tc>
        <w:tc>
          <w:tcPr>
            <w:tcW w:type="pct" w:w="22%"/>
            <w:tcMar>
              <w:top w:type="dxa" w:w="80"/>
              <w:left w:type="dxa" w:w="110"/>
              <w:bottom w:type="dxa" w:w="80"/>
              <w:right w:type="dxa" w:w="110"/>
            </w:tcMar>
          </w:tcPr>
          <w:p>
            <w:pPr>
              <w:spacing w:after="0"/>
            </w:pPr>
            <w:r>
              <w:rPr>
                <w:b/>
                <w:bCs/>
                <w:color w:val="047857"/>
                <w:sz w:val="17"/>
                <w:szCs w:val="17"/>
              </w:rPr>
              <w:t xml:space="preserve">OQ-40</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URS-44</w:t>
            </w:r>
          </w:p>
        </w:tc>
        <w:tc>
          <w:tcPr>
            <w:tcW w:type="pct" w:w="22%"/>
            <w:tcMar>
              <w:top w:type="dxa" w:w="80"/>
              <w:left w:type="dxa" w:w="110"/>
              <w:bottom w:type="dxa" w:w="80"/>
              <w:right w:type="dxa" w:w="110"/>
            </w:tcMar>
          </w:tcPr>
          <w:p>
            <w:pPr>
              <w:spacing w:after="0"/>
            </w:pPr>
            <w:r>
              <w:rPr>
                <w:b/>
                <w:bCs/>
                <w:color w:val="047857"/>
                <w:sz w:val="17"/>
                <w:szCs w:val="17"/>
              </w:rPr>
              <w:t xml:space="preserve">OQ-41</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URS-45</w:t>
            </w:r>
          </w:p>
        </w:tc>
        <w:tc>
          <w:tcPr>
            <w:tcW w:type="pct" w:w="22%"/>
            <w:tcMar>
              <w:top w:type="dxa" w:w="80"/>
              <w:left w:type="dxa" w:w="110"/>
              <w:bottom w:type="dxa" w:w="80"/>
              <w:right w:type="dxa" w:w="110"/>
            </w:tcMar>
          </w:tcPr>
          <w:p>
            <w:pPr>
              <w:spacing w:after="0"/>
            </w:pPr>
            <w:r>
              <w:rPr>
                <w:b/>
                <w:bCs/>
                <w:color w:val="047857"/>
                <w:sz w:val="17"/>
                <w:szCs w:val="17"/>
              </w:rPr>
              <w:t xml:space="preserve">OQ-42</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URS-46</w:t>
            </w:r>
          </w:p>
        </w:tc>
        <w:tc>
          <w:tcPr>
            <w:tcW w:type="pct" w:w="22%"/>
            <w:tcMar>
              <w:top w:type="dxa" w:w="80"/>
              <w:left w:type="dxa" w:w="110"/>
              <w:bottom w:type="dxa" w:w="80"/>
              <w:right w:type="dxa" w:w="110"/>
            </w:tcMar>
          </w:tcPr>
          <w:p>
            <w:pPr>
              <w:spacing w:after="0"/>
            </w:pPr>
            <w:r>
              <w:rPr>
                <w:b/>
                <w:bCs/>
                <w:color w:val="047857"/>
                <w:sz w:val="17"/>
                <w:szCs w:val="17"/>
              </w:rPr>
              <w:t xml:space="preserve">OQ-43</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URS-47</w:t>
            </w:r>
          </w:p>
        </w:tc>
        <w:tc>
          <w:tcPr>
            <w:tcW w:type="pct" w:w="22%"/>
            <w:tcMar>
              <w:top w:type="dxa" w:w="80"/>
              <w:left w:type="dxa" w:w="110"/>
              <w:bottom w:type="dxa" w:w="80"/>
              <w:right w:type="dxa" w:w="110"/>
            </w:tcMar>
          </w:tcPr>
          <w:p>
            <w:pPr>
              <w:spacing w:after="0"/>
            </w:pPr>
            <w:r>
              <w:rPr>
                <w:b/>
                <w:bCs/>
                <w:color w:val="047857"/>
                <w:sz w:val="17"/>
                <w:szCs w:val="17"/>
              </w:rPr>
              <w:t xml:space="preserve">OQ-44</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URS-48</w:t>
            </w:r>
          </w:p>
        </w:tc>
        <w:tc>
          <w:tcPr>
            <w:tcW w:type="pct" w:w="22%"/>
            <w:tcMar>
              <w:top w:type="dxa" w:w="80"/>
              <w:left w:type="dxa" w:w="110"/>
              <w:bottom w:type="dxa" w:w="80"/>
              <w:right w:type="dxa" w:w="110"/>
            </w:tcMar>
          </w:tcPr>
          <w:p>
            <w:pPr>
              <w:spacing w:after="0"/>
            </w:pPr>
            <w:r>
              <w:rPr>
                <w:b/>
                <w:bCs/>
                <w:color w:val="047857"/>
                <w:sz w:val="17"/>
                <w:szCs w:val="17"/>
              </w:rPr>
              <w:t xml:space="preserve">OQ-45</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r>
        <w:tc>
          <w:tcPr>
            <w:tcW w:type="pct" w:w="12%"/>
            <w:tcMar>
              <w:top w:type="dxa" w:w="80"/>
              <w:left w:type="dxa" w:w="110"/>
              <w:bottom w:type="dxa" w:w="80"/>
              <w:right w:type="dxa" w:w="110"/>
            </w:tcMar>
          </w:tcPr>
          <w:p>
            <w:pPr>
              <w:spacing w:after="0"/>
            </w:pPr>
            <w:r>
              <w:rPr>
                <w:b/>
                <w:bCs/>
                <w:color w:val="4338CA"/>
                <w:sz w:val="17"/>
                <w:szCs w:val="17"/>
              </w:rPr>
              <w:t xml:space="preserve">URS-49</w:t>
            </w:r>
          </w:p>
        </w:tc>
        <w:tc>
          <w:tcPr>
            <w:tcW w:type="pct" w:w="22%"/>
            <w:tcMar>
              <w:top w:type="dxa" w:w="80"/>
              <w:left w:type="dxa" w:w="110"/>
              <w:bottom w:type="dxa" w:w="80"/>
              <w:right w:type="dxa" w:w="110"/>
            </w:tcMar>
          </w:tcPr>
          <w:p>
            <w:pPr>
              <w:spacing w:after="0"/>
            </w:pPr>
            <w:r>
              <w:rPr>
                <w:b/>
                <w:bCs/>
                <w:color w:val="047857"/>
                <w:sz w:val="17"/>
                <w:szCs w:val="17"/>
              </w:rPr>
              <w:t xml:space="preserve">OQ-46</w:t>
            </w:r>
          </w:p>
        </w:tc>
        <w:tc>
          <w:tcPr>
            <w:tcW w:type="pct" w:w="66%"/>
            <w:tcMar>
              <w:top w:type="dxa" w:w="80"/>
              <w:left w:type="dxa" w:w="110"/>
              <w:bottom w:type="dxa" w:w="80"/>
              <w:right w:type="dxa" w:w="110"/>
            </w:tcMar>
          </w:tcPr>
          <w:p>
            <w:pPr>
              <w:spacing w:after="0"/>
            </w:pPr>
            <w:r>
              <w:rPr>
                <w:sz w:val="17"/>
                <w:szCs w:val="17"/>
              </w:rPr>
              <w:t xml:space="preserve">Automated test case executed by the vendor at every version, result in section 5.1.</w:t>
            </w:r>
          </w:p>
        </w:tc>
      </w:tr>
    </w:tbl>
    <w:p>
      <w:pPr>
        <w:pStyle w:val="Heading1"/>
        <w:spacing w:after="140" w:before="320"/>
      </w:pPr>
      <w:r>
        <w:t xml:space="preserve">7. What remains your responsibility</w:t>
      </w:r>
    </w:p>
    <w:p>
      <w:pPr>
        <w:spacing w:after="140"/>
      </w:pPr>
      <w:r>
        <w:rPr>
          <w:sz w:val="20"/>
          <w:szCs w:val="20"/>
        </w:rPr>
        <w:t xml:space="preserve">Of the 49 requirements, 45 are verified automatically by the vendor and 4 must be verified at your site. This is not an arbitrary split: those 4 requirements are not observable without a browser, without an HTTP request, or without your infrastructure. Counting them as covered would be an unverifiable claim.</w:t>
      </w:r>
    </w:p>
    <w:p>
      <w:pPr>
        <w:spacing w:after="60"/>
      </w:pPr>
      <w:r>
        <w:rPr>
          <w:b/>
          <w:bCs/>
          <w:sz w:val="20"/>
          <w:szCs w:val="20"/>
        </w:rPr>
        <w:t xml:space="preserve">Installation qualification (IQ)</w:t>
      </w:r>
    </w:p>
    <w:p>
      <w:pPr>
        <w:spacing w:after="140"/>
      </w:pPr>
      <w:r>
        <w:rPr>
          <w:sz w:val="20"/>
          <w:szCs w:val="20"/>
        </w:rPr>
        <w:t xml:space="preserve">Execute and sign the IQ protocol supplied with this file: prerequisites, deployment, environment checks, backup and restore proven, HTTPS access. It is your installation, on your infrastructure — the vendor cannot qualify it in your place.</w:t>
      </w:r>
    </w:p>
    <w:p>
      <w:pPr>
        <w:spacing w:after="60"/>
      </w:pPr>
      <w:r>
        <w:rPr>
          <w:b/>
          <w:bCs/>
          <w:sz w:val="20"/>
          <w:szCs w:val="20"/>
        </w:rPr>
        <w:t xml:space="preserve">Performance qualification (PQ)</w:t>
      </w:r>
    </w:p>
    <w:p>
      <w:pPr>
        <w:spacing w:after="140"/>
      </w:pPr>
      <w:r>
        <w:rPr>
          <w:sz w:val="20"/>
          <w:szCs w:val="20"/>
        </w:rPr>
        <w:t xml:space="preserve">Verify in your environment the 4 requirements carried over (section 6), then run your own intended-use cases: your naming scheme, your document types, your real roles, your volume.</w:t>
      </w:r>
    </w:p>
    <w:p>
      <w:pPr>
        <w:spacing w:after="60"/>
      </w:pPr>
      <w:r>
        <w:rPr>
          <w:b/>
          <w:bCs/>
          <w:sz w:val="20"/>
          <w:szCs w:val="20"/>
        </w:rPr>
        <w:t xml:space="preserve">Definition of your intended use</w:t>
      </w:r>
    </w:p>
    <w:p>
      <w:pPr>
        <w:spacing w:after="140"/>
      </w:pPr>
      <w:r>
        <w:rPr>
          <w:sz w:val="20"/>
          <w:szCs w:val="20"/>
        </w:rPr>
        <w:t xml:space="preserve">State what you expect from the software within YOUR quality system: which records it carries, which decisions rest on them, which procedures frame it. This is the document your validation scope depends on, and the vendor cannot write it.</w:t>
      </w:r>
    </w:p>
    <w:p>
      <w:pPr>
        <w:spacing w:after="60"/>
      </w:pPr>
      <w:r>
        <w:rPr>
          <w:b/>
          <w:bCs/>
          <w:sz w:val="20"/>
          <w:szCs w:val="20"/>
        </w:rPr>
        <w:t xml:space="preserve">Revalidation at every version</w:t>
      </w:r>
    </w:p>
    <w:p>
      <w:pPr>
        <w:spacing w:after="140"/>
      </w:pPr>
      <w:r>
        <w:rPr>
          <w:sz w:val="20"/>
          <w:szCs w:val="20"/>
        </w:rPr>
        <w:t xml:space="preserve">Replay your PQ at every upgrade, leaning on the OQ report of the new version. The vendor supplies that report regenerated with every delivery; without it, your revalidation would start from scratch.</w:t>
      </w:r>
    </w:p>
    <w:p>
      <w:pPr>
        <w:spacing w:after="60"/>
      </w:pPr>
      <w:r>
        <w:rPr>
          <w:b/>
          <w:bCs/>
          <w:sz w:val="20"/>
          <w:szCs w:val="20"/>
        </w:rPr>
        <w:t xml:space="preserve">21 CFR §11.100(c) certification</w:t>
      </w:r>
    </w:p>
    <w:p>
      <w:pPr>
        <w:spacing w:after="140"/>
      </w:pPr>
      <w:r>
        <w:rPr>
          <w:sz w:val="20"/>
          <w:szCs w:val="20"/>
        </w:rPr>
        <w:t xml:space="preserve">If you are subject to Part 11, certification to the FDA is an act of your legal entity. No supplier carries it in your place.</w:t>
      </w:r>
    </w:p>
    <w:p>
      <w:pPr>
        <w:pStyle w:val="Heading1"/>
        <w:spacing w:after="140" w:before="320"/>
      </w:pPr>
      <w:r>
        <w:t xml:space="preserve">8. Keeping this file current</w:t>
      </w:r>
    </w:p>
    <w:p>
      <w:pPr>
        <w:spacing w:after="140"/>
      </w:pPr>
      <w:r>
        <w:rPr>
          <w:sz w:val="20"/>
          <w:szCs w:val="20"/>
        </w:rPr>
        <w:t xml:space="preserve">The known trap of a vendor validation pack is that it ages: written once, it stops describing the product at the very next version, and an auditor who notices calls the whole validation into question.</w:t>
      </w:r>
    </w:p>
    <w:p>
      <w:pPr>
        <w:spacing w:after="140"/>
      </w:pPr>
      <w:r>
        <w:rPr>
          <w:sz w:val="20"/>
          <w:szCs w:val="20"/>
        </w:rPr>
        <w:t xml:space="preserve">This file is protected from that ageing by construction: section 5 is not written, it is PRODUCED from the result file of the test suite. The generator refuses to write the document if the suite has not been executed, and reports any deviation up front. A file stating “no deviation” has therefore necessarily seen a real, green execution.</w:t>
      </w:r>
    </w:p>
    <w:p>
      <w:pPr>
        <w:spacing w:after="160"/>
      </w:pPr>
      <w:r>
        <w:rPr>
          <w:b/>
          <w:bCs/>
          <w:sz w:val="20"/>
          <w:szCs w:val="20"/>
        </w:rPr>
        <w:t xml:space="preserve">Practical consequence for you: ask for the version of this file matching the version you operate, and check that the execution date in section 5 is later than the publication of that version.</w:t>
      </w:r>
    </w:p>
    <w:p>
      <w:pPr>
        <w:pStyle w:val="Heading1"/>
        <w:spacing w:after="140" w:before="320"/>
      </w:pPr>
      <w:r>
        <w:t xml:space="preserve">9. Limits of this file</w:t>
      </w:r>
    </w:p>
    <w:p>
      <w:pPr>
        <w:spacing w:after="100"/>
      </w:pPr>
      <w:r>
        <w:rPr>
          <w:sz w:val="20"/>
          <w:szCs w:val="20"/>
        </w:rPr>
        <w:t xml:space="preserve">— Test coverage bears on the product's business rules (authority, audit trail, signature, content freezing, CLSI computations, input robustness). It does not cover the user interface, whose verification belongs to your PQ.</w:t>
      </w:r>
    </w:p>
    <w:p>
      <w:pPr>
        <w:spacing w:after="100"/>
      </w:pPr>
      <w:r>
        <w:rPr>
          <w:sz w:val="20"/>
          <w:szCs w:val="20"/>
        </w:rPr>
        <w:t xml:space="preserve">— The cases are executed on SQLite, the database engine shipped with the product. A deployment on another engine would fall outside the scope of this file.</w:t>
      </w:r>
    </w:p>
    <w:p>
      <w:pPr>
        <w:spacing w:after="100"/>
      </w:pPr>
      <w:r>
        <w:rPr>
          <w:sz w:val="20"/>
          <w:szCs w:val="20"/>
        </w:rPr>
        <w:t xml:space="preserve">— Load behaviour is covered by a separate measured campaign, delivered with this file (load behaviour note): the software is characterised up to 50,143 audit trail entries. What it does NOT measure is named in the note, starting with concurrent users — SQLite admits only one writer at a time. Beyond the measured domain, behaviour is not characterised.</w:t>
      </w:r>
    </w:p>
    <w:p>
      <w:pPr>
        <w:spacing w:after="100"/>
      </w:pPr>
      <w:r>
        <w:rPr>
          <w:sz w:val="20"/>
          <w:szCs w:val="20"/>
        </w:rPr>
        <w:t xml:space="preserve">— No penetration test has been conducted by an independent third party. Authority checks are verified; resistance to a targeted attack is not.</w:t>
      </w:r>
    </w:p>
    <w:p>
      <w:pPr>
        <w:spacing w:after="100"/>
      </w:pPr>
      <w:r>
        <w:rPr>
          <w:sz w:val="20"/>
          <w:szCs w:val="20"/>
        </w:rPr>
        <w:t xml:space="preserve">— Archival copies are produced in PDF/A-2b format and validated by veraPDF 1.30.2, the reference implementation, run over a complete archive and over a torture document built to break it; the harness carries a non-conformant witness and refuses to conclude if the validator lets it pass. On its first run this check found two non-conformities our own verifications did not see. THE FORMAT IS VALIDATED, NOT CERTIFIED: a conforming validator is not a notified body, and the claim covers that validator version and that corpus. The embedded fonts cover the domain alphabet — Greek, Cyrillic, mathematical operators, superscripts, fractions, arrows — as well as kana and ideograms; a qualification case re-reads that coverage on the delivered fonts, and a font announces only what it can draw. The ideograph font is embedded only in documents that carry them, and reduced to what they use: a record without ideograms pays nothing. REMAINING LIMITATION: Hangul, ideographs specific to Simplified Chinese and colour emoji are not drawable; they are replaced, and every copy DECLARES which ones in a dedicated table.</w:t>
      </w:r>
    </w:p>
    <w:sectPr>
      <w:headerReference w:type="default" r:id="rId7"/>
      <w:footerReference w:type="default" r:id="rId8"/>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Page </w:t>
    </w:r>
    <w:r>
      <w:rPr>
        <w:color w:val="475569"/>
        <w:sz w:val="15"/>
        <w:szCs w:val="15"/>
      </w:rPr>
      <w:fldChar w:fldCharType="begin"/>
      <w:instrText xml:space="preserve">PAGE</w:instrText>
      <w:fldChar w:fldCharType="separate"/>
      <w:fldChar w:fldCharType="end"/>
    </w:r>
    <w:r>
      <w:rPr>
        <w:color w:val="475569"/>
        <w:sz w:val="15"/>
        <w:szCs w:val="15"/>
      </w:rPr>
      <w:t xml:space="preserve"> of </w:t>
    </w:r>
    <w:r>
      <w:rPr>
        <w:color w:val="475569"/>
        <w:sz w:val="15"/>
        <w:szCs w:val="15"/>
      </w:rPr>
      <w:fldChar w:fldCharType="begin"/>
      <w:instrText xml:space="preserve">NUMPAGES</w:instrText>
      <w:fldChar w:fldCharType="separate"/>
      <w:fldChar w:fldCharType="end"/>
    </w:r>
    <w:r>
      <w:rPr>
        <w:color w:val="475569"/>
        <w:sz w:val="15"/>
        <w:szCs w:val="15"/>
      </w:rPr>
      <w:t xml:space="preserve">   ·   Version 1.2.1 · OQ report executed on 1 October 2026 at 11:08 UTC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5"/>
        <w:szCs w:val="15"/>
      </w:rPr>
      <w:t xml:space="preserve">Filum — Software validation 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4338CA"/>
      <w:sz w:val="26"/>
      <w:szCs w:val="26"/>
    </w:rPr>
  </w:style>
  <w:style w:type="paragraph" w:styleId="Heading2">
    <w:name w:val="Heading 2"/>
    <w:basedOn w:val="Normal"/>
    <w:next w:val="Normal"/>
    <w:qFormat/>
    <w:pPr>
      <w:spacing w:after="100" w:before="240"/>
    </w:pPr>
    <w:rPr>
      <w:rFonts w:ascii="Calibri" w:cs="Calibri" w:eastAsia="Calibri" w:hAnsi="Calibri"/>
      <w:b/>
      <w:bCs/>
      <w:color w:val="1E293B"/>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Filum — Software validation file</dc:title>
  <dc:creator>Un-named</dc:creator>
  <cp:lastModifiedBy>Un-named</cp:lastModifiedBy>
  <cp:revision>1</cp:revision>
  <dcterms:created xsi:type="dcterms:W3CDTF">2026-10-01T11:29:22.678Z</dcterms:created>
  <dcterms:modified xsi:type="dcterms:W3CDTF">2026-10-01T11:29:22.678Z</dcterms:modified>
</cp:coreProperties>
</file>

<file path=docProps/custom.xml><?xml version="1.0" encoding="utf-8"?>
<Properties xmlns="http://schemas.openxmlformats.org/officeDocument/2006/custom-properties" xmlns:vt="http://schemas.openxmlformats.org/officeDocument/2006/docPropsVTypes"/>
</file>