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b/>
          <w:bCs/>
          <w:color w:val="4338CA"/>
          <w:sz w:val="44"/>
          <w:szCs w:val="44"/>
        </w:rPr>
        <w:t xml:space="preserve">Filum</w:t>
      </w:r>
    </w:p>
    <w:p>
      <w:pPr>
        <w:spacing w:after="100"/>
        <w:jc w:val="center"/>
      </w:pPr>
      <w:r>
        <w:rPr>
          <w:b/>
          <w:bCs/>
          <w:sz w:val="30"/>
          <w:szCs w:val="30"/>
        </w:rPr>
        <w:t xml:space="preserve">Note de position — rétention et archivage</w:t>
      </w:r>
    </w:p>
    <w:p>
      <w:pPr>
        <w:spacing w:after="500"/>
        <w:jc w:val="center"/>
      </w:pPr>
      <w:r>
        <w:rPr>
          <w:i/>
          <w:iCs/>
          <w:color w:val="475569"/>
          <w:sz w:val="24"/>
          <w:szCs w:val="24"/>
        </w:rPr>
        <w:t xml:space="preserve">« Et si nous arrêtons Filum dans huit ans, que deviennent nos enregistrements ? »</w:t>
      </w:r>
    </w:p>
    <w:p>
      <w:pPr>
        <w:spacing w:after="700"/>
        <w:jc w:val="center"/>
      </w:pPr>
      <w:r>
        <w:rPr>
          <w:color w:val="475569"/>
          <w:sz w:val="17"/>
          <w:szCs w:val="17"/>
        </w:rPr>
        <w:t xml:space="preserve">Version 1.2.1 — août 2026</w:t>
      </w:r>
    </w:p>
    <w:p>
      <w:pPr>
        <w:pStyle w:val="Heading1"/>
        <w:spacing w:after="140" w:before="320"/>
      </w:pPr>
      <w:r>
        <w:t xml:space="preserve">1. Ce que les textes demandent</w:t>
      </w:r>
    </w:p>
    <w:p>
      <w:pPr>
        <w:spacing w:after="160"/>
      </w:pPr>
      <w:r>
        <w:rPr>
          <w:sz w:val="20"/>
          <w:szCs w:val="20"/>
        </w:rPr>
        <w:t xml:space="preserve">Une lecture répandue veut que 21 CFR 11.10(c) impose de détruire les enregistrements à l'échéance. Elle est fausse, et l'erreur est coûteuse : un logiciel qui purgerait tout seul créerait exactement le risque qu'il prétend maîtriser. La clause demande de PROTÉGER les enregistrements pendant toute la durée de rétention.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0E7FF"/>
            <w:tcMar>
              <w:top w:type="dxa" w:w="80"/>
              <w:left w:type="dxa" w:w="110"/>
              <w:bottom w:type="dxa" w:w="80"/>
              <w:right w:type="dxa" w:w="110"/>
            </w:tcMar>
          </w:tcPr>
          <w:p>
            <w:pPr>
              <w:spacing w:after="0"/>
            </w:pPr>
            <w:r>
              <w:rPr>
                <w:b/>
                <w:bCs/>
                <w:sz w:val="17"/>
                <w:szCs w:val="17"/>
              </w:rPr>
              <w:t xml:space="preserve">Texte</w:t>
            </w:r>
          </w:p>
        </w:tc>
        <w:tc>
          <w:tcPr>
            <w:tcW w:type="pct" w:w="45%"/>
            <w:shd w:fill="E0E7FF"/>
            <w:tcMar>
              <w:top w:type="dxa" w:w="80"/>
              <w:left w:type="dxa" w:w="110"/>
              <w:bottom w:type="dxa" w:w="80"/>
              <w:right w:type="dxa" w:w="110"/>
            </w:tcMar>
          </w:tcPr>
          <w:p>
            <w:pPr>
              <w:spacing w:after="0"/>
            </w:pPr>
            <w:r>
              <w:rPr>
                <w:b/>
                <w:bCs/>
                <w:sz w:val="17"/>
                <w:szCs w:val="17"/>
              </w:rPr>
              <w:t xml:space="preserve">Ce qu'il exige</w:t>
            </w:r>
          </w:p>
        </w:tc>
        <w:tc>
          <w:tcPr>
            <w:tcW w:type="pct" w:w="33%"/>
            <w:shd w:fill="E0E7FF"/>
            <w:tcMar>
              <w:top w:type="dxa" w:w="80"/>
              <w:left w:type="dxa" w:w="110"/>
              <w:bottom w:type="dxa" w:w="80"/>
              <w:right w:type="dxa" w:w="110"/>
            </w:tcMar>
          </w:tcPr>
          <w:p>
            <w:pPr>
              <w:spacing w:after="0"/>
            </w:pPr>
            <w:r>
              <w:rPr>
                <w:b/>
                <w:bCs/>
                <w:sz w:val="17"/>
                <w:szCs w:val="17"/>
              </w:rPr>
              <w:t xml:space="preserve">Ce qu'il faut en retenir</w:t>
            </w:r>
          </w:p>
        </w:tc>
      </w:tr>
      <w:tr>
        <w:tc>
          <w:tcPr>
            <w:tcW w:type="pct" w:w="22%"/>
            <w:tcMar>
              <w:top w:type="dxa" w:w="80"/>
              <w:left w:type="dxa" w:w="110"/>
              <w:bottom w:type="dxa" w:w="80"/>
              <w:right w:type="dxa" w:w="110"/>
            </w:tcMar>
          </w:tcPr>
          <w:p>
            <w:pPr>
              <w:spacing w:after="0"/>
            </w:pPr>
            <w:r>
              <w:rPr>
                <w:b/>
                <w:bCs/>
                <w:color w:val="4338CA"/>
                <w:sz w:val="17"/>
                <w:szCs w:val="17"/>
              </w:rPr>
              <w:t xml:space="preserve">21 CFR 11.10(c)</w:t>
            </w:r>
          </w:p>
        </w:tc>
        <w:tc>
          <w:tcPr>
            <w:tcW w:type="pct" w:w="45%"/>
            <w:tcMar>
              <w:top w:type="dxa" w:w="80"/>
              <w:left w:type="dxa" w:w="110"/>
              <w:bottom w:type="dxa" w:w="80"/>
              <w:right w:type="dxa" w:w="110"/>
            </w:tcMar>
          </w:tcPr>
          <w:p>
            <w:pPr>
              <w:spacing w:after="0"/>
            </w:pPr>
            <w:r>
              <w:rPr>
                <w:sz w:val="17"/>
                <w:szCs w:val="17"/>
              </w:rPr>
              <w:t xml:space="preserve">Protéger les enregistrements pour permettre leur restitution exacte et prête pendant toute la durée de rétention.</w:t>
            </w:r>
          </w:p>
        </w:tc>
        <w:tc>
          <w:tcPr>
            <w:tcW w:type="pct" w:w="33%"/>
            <w:tcMar>
              <w:top w:type="dxa" w:w="80"/>
              <w:left w:type="dxa" w:w="110"/>
              <w:bottom w:type="dxa" w:w="80"/>
              <w:right w:type="dxa" w:w="110"/>
            </w:tcMar>
          </w:tcPr>
          <w:p>
            <w:pPr>
              <w:spacing w:after="0"/>
            </w:pPr>
            <w:r>
              <w:rPr>
                <w:color w:val="475569"/>
                <w:sz w:val="17"/>
                <w:szCs w:val="17"/>
              </w:rPr>
              <w:t xml:space="preserve">La clause porte sur la PROTECTION, jamais sur la destruction. Elle n'impose aucune purge à l'échéance.</w:t>
            </w:r>
          </w:p>
        </w:tc>
      </w:tr>
      <w:tr>
        <w:tc>
          <w:tcPr>
            <w:tcW w:type="pct" w:w="22%"/>
            <w:tcMar>
              <w:top w:type="dxa" w:w="80"/>
              <w:left w:type="dxa" w:w="110"/>
              <w:bottom w:type="dxa" w:w="80"/>
              <w:right w:type="dxa" w:w="110"/>
            </w:tcMar>
          </w:tcPr>
          <w:p>
            <w:pPr>
              <w:spacing w:after="0"/>
            </w:pPr>
            <w:r>
              <w:rPr>
                <w:b/>
                <w:bCs/>
                <w:color w:val="4338CA"/>
                <w:sz w:val="17"/>
                <w:szCs w:val="17"/>
              </w:rPr>
              <w:t xml:space="preserve">21 CFR partie 820 (QMSR)</w:t>
            </w:r>
          </w:p>
        </w:tc>
        <w:tc>
          <w:tcPr>
            <w:tcW w:type="pct" w:w="45%"/>
            <w:tcMar>
              <w:top w:type="dxa" w:w="80"/>
              <w:left w:type="dxa" w:w="110"/>
              <w:bottom w:type="dxa" w:w="80"/>
              <w:right w:type="dxa" w:w="110"/>
            </w:tcMar>
          </w:tcPr>
          <w:p>
            <w:pPr>
              <w:spacing w:after="0"/>
            </w:pPr>
            <w:r>
              <w:rPr>
                <w:sz w:val="17"/>
                <w:szCs w:val="17"/>
              </w:rPr>
              <w:t xml:space="preserve">Depuis le 2 février 2026, la QMSR incorpore l'ISO 13485:2016 par référence (§ 820.7) et impose de s'y conformer (§ 820.10(a)). Les sous-parties C à O de l'ancienne rédaction ont été supprimées : le § 820.180(b), qui portait la durée de conservation, N'EXISTE PLUS. Le § 820.35 « Control of records » ne traite que du contenu de certains enregistrements — réclamations, interventions de service, IUD — et non de leur durée.</w:t>
            </w:r>
          </w:p>
        </w:tc>
        <w:tc>
          <w:tcPr>
            <w:tcW w:type="pct" w:w="33%"/>
            <w:tcMar>
              <w:top w:type="dxa" w:w="80"/>
              <w:left w:type="dxa" w:w="110"/>
              <w:bottom w:type="dxa" w:w="80"/>
              <w:right w:type="dxa" w:w="110"/>
            </w:tcMar>
          </w:tcPr>
          <w:p>
            <w:pPr>
              <w:spacing w:after="0"/>
            </w:pPr>
            <w:r>
              <w:rPr>
                <w:color w:val="475569"/>
                <w:sz w:val="17"/>
                <w:szCs w:val="17"/>
              </w:rPr>
              <w:t xml:space="preserve">Ne citez plus le § 820.180(b) dans une procédure écrite après février 2026 : la durée applicable aux États-Unis est désormais celle de l'ISO 13485 § 4.2.5, ci-dessous.</w:t>
            </w:r>
          </w:p>
        </w:tc>
      </w:tr>
      <w:tr>
        <w:tc>
          <w:tcPr>
            <w:tcW w:type="pct" w:w="22%"/>
            <w:tcMar>
              <w:top w:type="dxa" w:w="80"/>
              <w:left w:type="dxa" w:w="110"/>
              <w:bottom w:type="dxa" w:w="80"/>
              <w:right w:type="dxa" w:w="110"/>
            </w:tcMar>
          </w:tcPr>
          <w:p>
            <w:pPr>
              <w:spacing w:after="0"/>
            </w:pPr>
            <w:r>
              <w:rPr>
                <w:b/>
                <w:bCs/>
                <w:color w:val="4338CA"/>
                <w:sz w:val="17"/>
                <w:szCs w:val="17"/>
              </w:rPr>
              <w:t xml:space="preserve">MDR (UE) 2017/745, art. 10(8)</w:t>
            </w:r>
          </w:p>
        </w:tc>
        <w:tc>
          <w:tcPr>
            <w:tcW w:type="pct" w:w="45%"/>
            <w:tcMar>
              <w:top w:type="dxa" w:w="80"/>
              <w:left w:type="dxa" w:w="110"/>
              <w:bottom w:type="dxa" w:w="80"/>
              <w:right w:type="dxa" w:w="110"/>
            </w:tcMar>
          </w:tcPr>
          <w:p>
            <w:pPr>
              <w:spacing w:after="0"/>
            </w:pPr>
            <w:r>
              <w:rPr>
                <w:sz w:val="17"/>
                <w:szCs w:val="17"/>
              </w:rPr>
              <w:t xml:space="preserve">Tenir la documentation technique à disposition pendant au moins dix ans après la mise sur le marché du dernier dispositif — quinze ans pour un dispositif implantable.</w:t>
            </w:r>
          </w:p>
        </w:tc>
        <w:tc>
          <w:tcPr>
            <w:tcW w:type="pct" w:w="33%"/>
            <w:tcMar>
              <w:top w:type="dxa" w:w="80"/>
              <w:left w:type="dxa" w:w="110"/>
              <w:bottom w:type="dxa" w:w="80"/>
              <w:right w:type="dxa" w:w="110"/>
            </w:tcMar>
          </w:tcPr>
          <w:p>
            <w:pPr>
              <w:spacing w:after="0"/>
            </w:pPr>
            <w:r>
              <w:rPr>
                <w:color w:val="475569"/>
                <w:sz w:val="17"/>
                <w:szCs w:val="17"/>
              </w:rPr>
              <w:t xml:space="preserve">Dix à quinze ans : c'est plus long que la vie d'une version logicielle, d'un système d'exploitation, souvent d'un fournisseur.</w:t>
            </w:r>
          </w:p>
        </w:tc>
      </w:tr>
      <w:tr>
        <w:tc>
          <w:tcPr>
            <w:tcW w:type="pct" w:w="22%"/>
            <w:tcMar>
              <w:top w:type="dxa" w:w="80"/>
              <w:left w:type="dxa" w:w="110"/>
              <w:bottom w:type="dxa" w:w="80"/>
              <w:right w:type="dxa" w:w="110"/>
            </w:tcMar>
          </w:tcPr>
          <w:p>
            <w:pPr>
              <w:spacing w:after="0"/>
            </w:pPr>
            <w:r>
              <w:rPr>
                <w:b/>
                <w:bCs/>
                <w:color w:val="4338CA"/>
                <w:sz w:val="17"/>
                <w:szCs w:val="17"/>
              </w:rPr>
              <w:t xml:space="preserve">ISO 13485:2016 § 4.2.5</w:t>
            </w:r>
          </w:p>
        </w:tc>
        <w:tc>
          <w:tcPr>
            <w:tcW w:type="pct" w:w="45%"/>
            <w:tcMar>
              <w:top w:type="dxa" w:w="80"/>
              <w:left w:type="dxa" w:w="110"/>
              <w:bottom w:type="dxa" w:w="80"/>
              <w:right w:type="dxa" w:w="110"/>
            </w:tcMar>
          </w:tcPr>
          <w:p>
            <w:pPr>
              <w:spacing w:after="0"/>
            </w:pPr>
            <w:r>
              <w:rPr>
                <w:sz w:val="17"/>
                <w:szCs w:val="17"/>
              </w:rPr>
              <w:t xml:space="preserve">Conserver les enregistrements pendant au moins la durée de vie du dispositif telle que définie par l'organisme, ou celle qu'imposent les exigences réglementaires applicables, sans jamais être inférieure à deux ans après la date de libération du dispositif. S'assurer qu'ils restent lisibles, facilement identifiables et récupérables.</w:t>
            </w:r>
          </w:p>
        </w:tc>
        <w:tc>
          <w:tcPr>
            <w:tcW w:type="pct" w:w="33%"/>
            <w:tcMar>
              <w:top w:type="dxa" w:w="80"/>
              <w:left w:type="dxa" w:w="110"/>
              <w:bottom w:type="dxa" w:w="80"/>
              <w:right w:type="dxa" w:w="110"/>
            </w:tcMar>
          </w:tcPr>
          <w:p>
            <w:pPr>
              <w:spacing w:after="0"/>
            </w:pPr>
            <w:r>
              <w:rPr>
                <w:color w:val="475569"/>
                <w:sz w:val="17"/>
                <w:szCs w:val="17"/>
              </w:rPr>
              <w:t xml:space="preserve">C'est LA référence à citer : elle vaut par elle-même sous ISO 13485, et aux États-Unis par incorporation dans la QMSR. « Lisibles » se lit sur toute la durée — un format ouvert et vérifiable vaut mieux qu'une base propriétaire.</w:t>
            </w:r>
          </w:p>
        </w:tc>
      </w:tr>
    </w:tbl>
    <w:p>
      <w:pPr>
        <w:spacing w:after="160"/>
      </w:pPr>
      <w:r>
        <w:rPr>
          <w:b/>
          <w:bCs/>
          <w:sz w:val="20"/>
          <w:szCs w:val="20"/>
        </w:rPr>
        <w:t xml:space="preserve">Deux conséquences en découlent, et elles commandent tout le reste. La durée dépend de votre dispositif : le logiciel ne peut pas la deviner, il peut seulement enregistrer votre décision. Et la durée dépasse la vie d'une installation logicielle : la restitution ne peut donc pas dépendre du logiciel.</w:t>
      </w:r>
    </w:p>
    <w:p>
      <w:pPr>
        <w:pStyle w:val="Heading1"/>
        <w:spacing w:after="140" w:before="320"/>
      </w:pPr>
      <w:r>
        <w:t xml:space="preserve">2. Le choix fondateur : Filum ne supprime jamais</w:t>
      </w:r>
    </w:p>
    <w:p>
      <w:pPr>
        <w:spacing w:after="140"/>
      </w:pPr>
      <w:r>
        <w:rPr>
          <w:sz w:val="20"/>
          <w:szCs w:val="20"/>
        </w:rPr>
        <w:t xml:space="preserve">Il n'existe dans Filum aucune fonction d'expiration, aucune purge programmée, aucune corbeille qui se vide. Un enregistrement figé entre dans le système et n'en sort pas. Les gels dépassés eux-mêmes — ceux d'une révision antérieure, ou d'une revue interrompue — sont conservés et restent téléchargeables : la trace des tentatives d'approbation fait partie de l'enregistrement.</w:t>
      </w:r>
    </w:p>
    <w:p>
      <w:pPr>
        <w:spacing w:after="160"/>
      </w:pPr>
      <w:r>
        <w:rPr>
          <w:sz w:val="20"/>
          <w:szCs w:val="20"/>
        </w:rPr>
        <w:t xml:space="preserve">C'est un choix, pas une lacune. Un système qui décide seul de détruire est un système qui peut détruire à tort, et l'erreur est par nature irrattrapable. La décision de destruction, quand elle arrive, se prend hors du logiciel et s'exécute hors du logiciel.</w:t>
      </w:r>
    </w:p>
    <w:p>
      <w:pPr>
        <w:pStyle w:val="Heading1"/>
        <w:spacing w:after="140" w:before="320"/>
      </w:pPr>
      <w:r>
        <w:t xml:space="preserve">3. Ce que fait le logiciel, et comment le vérifier</w:t>
      </w:r>
    </w:p>
    <w:p>
      <w:pPr>
        <w:spacing w:after="140"/>
      </w:pPr>
      <w:r>
        <w:rPr>
          <w:sz w:val="20"/>
          <w:szCs w:val="20"/>
        </w:rPr>
        <w:t xml:space="preserve">Chaque ligne décrit un mécanisme réellement implémenté, avec le geste qui permet de le mettre en défaut. Aucune ne demande de nous croire sur parole.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0E7FF"/>
            <w:tcMar>
              <w:top w:type="dxa" w:w="80"/>
              <w:left w:type="dxa" w:w="110"/>
              <w:bottom w:type="dxa" w:w="80"/>
              <w:right w:type="dxa" w:w="110"/>
            </w:tcMar>
          </w:tcPr>
          <w:p>
            <w:pPr>
              <w:spacing w:after="0"/>
            </w:pPr>
            <w:r>
              <w:rPr>
                <w:b/>
                <w:bCs/>
                <w:sz w:val="17"/>
                <w:szCs w:val="17"/>
              </w:rPr>
              <w:t xml:space="preserve">Mécanisme</w:t>
            </w:r>
          </w:p>
        </w:tc>
        <w:tc>
          <w:tcPr>
            <w:tcW w:type="pct" w:w="48%"/>
            <w:shd w:fill="E0E7FF"/>
            <w:tcMar>
              <w:top w:type="dxa" w:w="80"/>
              <w:left w:type="dxa" w:w="110"/>
              <w:bottom w:type="dxa" w:w="80"/>
              <w:right w:type="dxa" w:w="110"/>
            </w:tcMar>
          </w:tcPr>
          <w:p>
            <w:pPr>
              <w:spacing w:after="0"/>
            </w:pPr>
            <w:r>
              <w:rPr>
                <w:b/>
                <w:bCs/>
                <w:sz w:val="17"/>
                <w:szCs w:val="17"/>
              </w:rPr>
              <w:t xml:space="preserve">Ce qu'il garantit</w:t>
            </w:r>
          </w:p>
        </w:tc>
        <w:tc>
          <w:tcPr>
            <w:tcW w:type="pct" w:w="30%"/>
            <w:shd w:fill="E0E7FF"/>
            <w:tcMar>
              <w:top w:type="dxa" w:w="80"/>
              <w:left w:type="dxa" w:w="110"/>
              <w:bottom w:type="dxa" w:w="80"/>
              <w:right w:type="dxa" w:w="110"/>
            </w:tcMar>
          </w:tcPr>
          <w:p>
            <w:pPr>
              <w:spacing w:after="0"/>
            </w:pPr>
            <w:r>
              <w:rPr>
                <w:b/>
                <w:bCs/>
                <w:sz w:val="17"/>
                <w:szCs w:val="17"/>
              </w:rPr>
              <w:t xml:space="preserve">Comment le vérifier</w:t>
            </w:r>
          </w:p>
        </w:tc>
      </w:tr>
      <w:tr>
        <w:tc>
          <w:tcPr>
            <w:tcW w:type="pct" w:w="22%"/>
            <w:tcMar>
              <w:top w:type="dxa" w:w="80"/>
              <w:left w:type="dxa" w:w="110"/>
              <w:bottom w:type="dxa" w:w="80"/>
              <w:right w:type="dxa" w:w="110"/>
            </w:tcMar>
          </w:tcPr>
          <w:p>
            <w:pPr>
              <w:spacing w:after="0"/>
            </w:pPr>
            <w:r>
              <w:rPr>
                <w:b/>
                <w:bCs/>
                <w:color w:val="4338CA"/>
                <w:sz w:val="17"/>
                <w:szCs w:val="17"/>
              </w:rPr>
              <w:t xml:space="preserve">Aucune purge, jamais</w:t>
            </w:r>
          </w:p>
        </w:tc>
        <w:tc>
          <w:tcPr>
            <w:tcW w:type="pct" w:w="48%"/>
            <w:tcMar>
              <w:top w:type="dxa" w:w="80"/>
              <w:left w:type="dxa" w:w="110"/>
              <w:bottom w:type="dxa" w:w="80"/>
              <w:right w:type="dxa" w:w="110"/>
            </w:tcMar>
          </w:tcPr>
          <w:p>
            <w:pPr>
              <w:spacing w:after="0"/>
            </w:pPr>
            <w:r>
              <w:rPr>
                <w:sz w:val="17"/>
                <w:szCs w:val="17"/>
              </w:rPr>
              <w:t xml:space="preserve">Filum n'implémente aucune suppression automatique, aucune expiration, aucune tâche de ménage sur les enregistrements figés. Un enregistrement approuvé n'est pas supprimable par l'application, quel que soit le rôle : les rares suppressions autorisées portent sur du contenu en brouillon, et un document publié ou signé les refuse.</w:t>
            </w:r>
          </w:p>
        </w:tc>
        <w:tc>
          <w:tcPr>
            <w:tcW w:type="pct" w:w="30%"/>
            <w:tcMar>
              <w:top w:type="dxa" w:w="80"/>
              <w:left w:type="dxa" w:w="110"/>
              <w:bottom w:type="dxa" w:w="80"/>
              <w:right w:type="dxa" w:w="110"/>
            </w:tcMar>
          </w:tcPr>
          <w:p>
            <w:pPr>
              <w:spacing w:after="0"/>
            </w:pPr>
            <w:r>
              <w:rPr>
                <w:color w:val="475569"/>
                <w:sz w:val="17"/>
                <w:szCs w:val="17"/>
              </w:rPr>
              <w:t xml:space="preserve">Tenter de supprimer un document publié : le refus est explicite et renvoie vers la voie conforme, une nouvelle révision.</w:t>
            </w:r>
          </w:p>
        </w:tc>
      </w:tr>
      <w:tr>
        <w:tc>
          <w:tcPr>
            <w:tcW w:type="pct" w:w="22%"/>
            <w:tcMar>
              <w:top w:type="dxa" w:w="80"/>
              <w:left w:type="dxa" w:w="110"/>
              <w:bottom w:type="dxa" w:w="80"/>
              <w:right w:type="dxa" w:w="110"/>
            </w:tcMar>
          </w:tcPr>
          <w:p>
            <w:pPr>
              <w:spacing w:after="0"/>
            </w:pPr>
            <w:r>
              <w:rPr>
                <w:b/>
                <w:bCs/>
                <w:color w:val="4338CA"/>
                <w:sz w:val="17"/>
                <w:szCs w:val="17"/>
              </w:rPr>
              <w:t xml:space="preserve">Durée déclarée, pas appliquée</w:t>
            </w:r>
          </w:p>
        </w:tc>
        <w:tc>
          <w:tcPr>
            <w:tcW w:type="pct" w:w="48%"/>
            <w:tcMar>
              <w:top w:type="dxa" w:w="80"/>
              <w:left w:type="dxa" w:w="110"/>
              <w:bottom w:type="dxa" w:w="80"/>
              <w:right w:type="dxa" w:w="110"/>
            </w:tcMar>
          </w:tcPr>
          <w:p>
            <w:pPr>
              <w:spacing w:after="0"/>
            </w:pPr>
            <w:r>
              <w:rPr>
                <w:sz w:val="17"/>
                <w:szCs w:val="17"/>
              </w:rPr>
              <w:t xml:space="preserve">La durée de conservation se saisit dans Réglages, avec ce qui la fonde et la référence de votre procédure. Elle ne déclenche RIEN : elle est reportée sur chaque enregistrement de l'archive sous forme d'échéance, pour que la décision figure dans le dossier au lieu de rester dans la tête de quelqu'un. Tant qu'aucune durée n'est déclarée, l'archive l'écrit noir sur blanc plutôt que d'afficher une valeur par défaut.</w:t>
            </w:r>
          </w:p>
        </w:tc>
        <w:tc>
          <w:tcPr>
            <w:tcW w:type="pct" w:w="30%"/>
            <w:tcMar>
              <w:top w:type="dxa" w:w="80"/>
              <w:left w:type="dxa" w:w="110"/>
              <w:bottom w:type="dxa" w:w="80"/>
              <w:right w:type="dxa" w:w="110"/>
            </w:tcMar>
          </w:tcPr>
          <w:p>
            <w:pPr>
              <w:spacing w:after="0"/>
            </w:pPr>
            <w:r>
              <w:rPr>
                <w:color w:val="475569"/>
                <w:sz w:val="17"/>
                <w:szCs w:val="17"/>
              </w:rPr>
              <w:t xml:space="preserve">Déclarer dix ans, produire une archive, ouvrir le manifeste : chaque ligne porte son échéance, calculée depuis la date de gel de l'enregistrement.</w:t>
            </w:r>
          </w:p>
        </w:tc>
      </w:tr>
      <w:tr>
        <w:tc>
          <w:tcPr>
            <w:tcW w:type="pct" w:w="22%"/>
            <w:tcMar>
              <w:top w:type="dxa" w:w="80"/>
              <w:left w:type="dxa" w:w="110"/>
              <w:bottom w:type="dxa" w:w="80"/>
              <w:right w:type="dxa" w:w="110"/>
            </w:tcMar>
          </w:tcPr>
          <w:p>
            <w:pPr>
              <w:spacing w:after="0"/>
            </w:pPr>
            <w:r>
              <w:rPr>
                <w:b/>
                <w:bCs/>
                <w:color w:val="4338CA"/>
                <w:sz w:val="17"/>
                <w:szCs w:val="17"/>
              </w:rPr>
              <w:t xml:space="preserve">Archive vérifiable hors Filum</w:t>
            </w:r>
          </w:p>
        </w:tc>
        <w:tc>
          <w:tcPr>
            <w:tcW w:type="pct" w:w="48%"/>
            <w:tcMar>
              <w:top w:type="dxa" w:w="80"/>
              <w:left w:type="dxa" w:w="110"/>
              <w:bottom w:type="dxa" w:w="80"/>
              <w:right w:type="dxa" w:w="110"/>
            </w:tcMar>
          </w:tcPr>
          <w:p>
            <w:pPr>
              <w:spacing w:after="0"/>
            </w:pPr>
            <w:r>
              <w:rPr>
                <w:sz w:val="17"/>
                <w:szCs w:val="17"/>
              </w:rPr>
              <w:t xml:space="preserve">L'archive contient les octets figés de chaque enregistrement, une COPIE D'ARCHIVAGE PDF/A-2b de chacun à côté, un manifeste lisible dans un tableur, les exports CSV du graphe, la piste d'audit complète, et un fichier d'empreintes au format standard de sha256sum. Aucun format propriétaire, aucune dépendance à Filum, aucune licence à maintenir. La copie PDF/A répond à la question que pose une conservation de dix ans : rien ne garantit qu'un lecteur de .docx sera installé sur la machine où l'archive sera ouverte, alors qu'un PDF/A embarque sa police et ses couleurs et se lit sans rien d'autre que lui-même.</w:t>
            </w:r>
          </w:p>
        </w:tc>
        <w:tc>
          <w:tcPr>
            <w:tcW w:type="pct" w:w="30%"/>
            <w:tcMar>
              <w:top w:type="dxa" w:w="80"/>
              <w:left w:type="dxa" w:w="110"/>
              <w:bottom w:type="dxa" w:w="80"/>
              <w:right w:type="dxa" w:w="110"/>
            </w:tcMar>
          </w:tcPr>
          <w:p>
            <w:pPr>
              <w:spacing w:after="0"/>
            </w:pPr>
            <w:r>
              <w:rPr>
                <w:color w:val="475569"/>
                <w:sz w:val="17"/>
                <w:szCs w:val="17"/>
              </w:rPr>
              <w:t xml:space="preserve">Sur un poste où Filum n'a jamais été installé : « sha256sum -c empreintes.sha256 ».</w:t>
            </w:r>
          </w:p>
        </w:tc>
      </w:tr>
      <w:tr>
        <w:tc>
          <w:tcPr>
            <w:tcW w:type="pct" w:w="22%"/>
            <w:tcMar>
              <w:top w:type="dxa" w:w="80"/>
              <w:left w:type="dxa" w:w="110"/>
              <w:bottom w:type="dxa" w:w="80"/>
              <w:right w:type="dxa" w:w="110"/>
            </w:tcMar>
          </w:tcPr>
          <w:p>
            <w:pPr>
              <w:spacing w:after="0"/>
            </w:pPr>
            <w:r>
              <w:rPr>
                <w:b/>
                <w:bCs/>
                <w:color w:val="4338CA"/>
                <w:sz w:val="17"/>
                <w:szCs w:val="17"/>
              </w:rPr>
              <w:t xml:space="preserve">Une seule valeur à consigner</w:t>
            </w:r>
          </w:p>
        </w:tc>
        <w:tc>
          <w:tcPr>
            <w:tcW w:type="pct" w:w="48%"/>
            <w:tcMar>
              <w:top w:type="dxa" w:w="80"/>
              <w:left w:type="dxa" w:w="110"/>
              <w:bottom w:type="dxa" w:w="80"/>
              <w:right w:type="dxa" w:w="110"/>
            </w:tcMar>
          </w:tcPr>
          <w:p>
            <w:pPr>
              <w:spacing w:after="0"/>
            </w:pPr>
            <w:r>
              <w:rPr>
                <w:sz w:val="17"/>
                <w:szCs w:val="17"/>
              </w:rPr>
              <w:t xml:space="preserve">Le fichier d'empreintes porte l'empreinte de tous les autres fichiers ; sa propre empreinte SHA-256 tient sur une ligne. Recopiée sur votre registre papier de revue qualité, elle suffit à établir des années plus tard que l'archive présentée est bien celle qui a été produite ce jour-là.</w:t>
            </w:r>
          </w:p>
        </w:tc>
        <w:tc>
          <w:tcPr>
            <w:tcW w:type="pct" w:w="30%"/>
            <w:tcMar>
              <w:top w:type="dxa" w:w="80"/>
              <w:left w:type="dxa" w:w="110"/>
              <w:bottom w:type="dxa" w:w="80"/>
              <w:right w:type="dxa" w:w="110"/>
            </w:tcMar>
          </w:tcPr>
          <w:p>
            <w:pPr>
              <w:spacing w:after="0"/>
            </w:pPr>
            <w:r>
              <w:rPr>
                <w:color w:val="475569"/>
                <w:sz w:val="17"/>
                <w:szCs w:val="17"/>
              </w:rPr>
              <w:t xml:space="preserve">« node verifier.mjs » affiche cette valeur en première ligne ; « certutil -hashfile empreintes.sha256 SHA256 » la donne sans rien installer sous Windows.</w:t>
            </w:r>
          </w:p>
        </w:tc>
      </w:tr>
      <w:tr>
        <w:tc>
          <w:tcPr>
            <w:tcW w:type="pct" w:w="22%"/>
            <w:tcMar>
              <w:top w:type="dxa" w:w="80"/>
              <w:left w:type="dxa" w:w="110"/>
              <w:bottom w:type="dxa" w:w="80"/>
              <w:right w:type="dxa" w:w="110"/>
            </w:tcMar>
          </w:tcPr>
          <w:p>
            <w:pPr>
              <w:spacing w:after="0"/>
            </w:pPr>
            <w:r>
              <w:rPr>
                <w:b/>
                <w:bCs/>
                <w:color w:val="4338CA"/>
                <w:sz w:val="17"/>
                <w:szCs w:val="17"/>
              </w:rPr>
              <w:t xml:space="preserve">Altération signalée, pas masquée</w:t>
            </w:r>
          </w:p>
        </w:tc>
        <w:tc>
          <w:tcPr>
            <w:tcW w:type="pct" w:w="48%"/>
            <w:tcMar>
              <w:top w:type="dxa" w:w="80"/>
              <w:left w:type="dxa" w:w="110"/>
              <w:bottom w:type="dxa" w:w="80"/>
              <w:right w:type="dxa" w:w="110"/>
            </w:tcMar>
          </w:tcPr>
          <w:p>
            <w:pPr>
              <w:spacing w:after="0"/>
            </w:pPr>
            <w:r>
              <w:rPr>
                <w:sz w:val="17"/>
                <w:szCs w:val="17"/>
              </w:rPr>
              <w:t xml:space="preserve">Chaque enregistrement est relu et son empreinte recalculée au moment de l'archivage. Un fichier abîmé sur le disque est marqué ALTÉRÉ dans le manifeste et inclus quand même : le retirer produirait une archive d'apparence saine, ce qui serait pire que le défaut lui-même.</w:t>
            </w:r>
          </w:p>
        </w:tc>
        <w:tc>
          <w:tcPr>
            <w:tcW w:type="pct" w:w="30%"/>
            <w:tcMar>
              <w:top w:type="dxa" w:w="80"/>
              <w:left w:type="dxa" w:w="110"/>
              <w:bottom w:type="dxa" w:w="80"/>
              <w:right w:type="dxa" w:w="110"/>
            </w:tcMar>
          </w:tcPr>
          <w:p>
            <w:pPr>
              <w:spacing w:after="0"/>
            </w:pPr>
            <w:r>
              <w:rPr>
                <w:color w:val="475569"/>
                <w:sz w:val="17"/>
                <w:szCs w:val="17"/>
              </w:rPr>
              <w:t xml:space="preserve">Modifier un octet d'un fichier conservé depuis la console du serveur, puis produire une archive : la ligne correspondante porte ALTÉRÉ.</w:t>
            </w:r>
          </w:p>
        </w:tc>
      </w:tr>
      <w:tr>
        <w:tc>
          <w:tcPr>
            <w:tcW w:type="pct" w:w="22%"/>
            <w:tcMar>
              <w:top w:type="dxa" w:w="80"/>
              <w:left w:type="dxa" w:w="110"/>
              <w:bottom w:type="dxa" w:w="80"/>
              <w:right w:type="dxa" w:w="110"/>
            </w:tcMar>
          </w:tcPr>
          <w:p>
            <w:pPr>
              <w:spacing w:after="0"/>
            </w:pPr>
            <w:r>
              <w:rPr>
                <w:b/>
                <w:bCs/>
                <w:color w:val="4338CA"/>
                <w:sz w:val="17"/>
                <w:szCs w:val="17"/>
              </w:rPr>
              <w:t xml:space="preserve">Horodatage par un tiers</w:t>
            </w:r>
          </w:p>
        </w:tc>
        <w:tc>
          <w:tcPr>
            <w:tcW w:type="pct" w:w="48%"/>
            <w:tcMar>
              <w:top w:type="dxa" w:w="80"/>
              <w:left w:type="dxa" w:w="110"/>
              <w:bottom w:type="dxa" w:w="80"/>
              <w:right w:type="dxa" w:w="110"/>
            </w:tcMar>
          </w:tcPr>
          <w:p>
            <w:pPr>
              <w:spacing w:after="0"/>
            </w:pPr>
            <w:r>
              <w:rPr>
                <w:sz w:val="17"/>
                <w:szCs w:val="17"/>
              </w:rPr>
              <w:t xml:space="preserve">L'ancre de l'archive est soumise à l'autorité d'horodatage que VOUS configurez, qui renvoie un jeton RFC 3161 : elle contresigne « j'ai vu cette empreinte à cette date ». Filum contrôle que le jeton atteste bien cette empreinte-là et le nonce demandé, puis le conserve tel quel dans l'archive. Sous eIDAS, un horodatage qualifié bénéficie d'une présomption d'exactitude de la date et d'intégrité. L'autorité injoignable ne bloque jamais l'extraction : l'archive est produite sans jeton et le dit.</w:t>
            </w:r>
          </w:p>
        </w:tc>
        <w:tc>
          <w:tcPr>
            <w:tcW w:type="pct" w:w="30%"/>
            <w:tcMar>
              <w:top w:type="dxa" w:w="80"/>
              <w:left w:type="dxa" w:w="110"/>
              <w:bottom w:type="dxa" w:w="80"/>
              <w:right w:type="dxa" w:w="110"/>
            </w:tcMar>
          </w:tcPr>
          <w:p>
            <w:pPr>
              <w:spacing w:after="0"/>
            </w:pPr>
            <w:r>
              <w:rPr>
                <w:color w:val="475569"/>
                <w:sz w:val="17"/>
                <w:szCs w:val="17"/>
              </w:rPr>
              <w:t xml:space="preserve">« openssl ts -verify -token_in -in horodatage.tsr -digest &lt;ancre&gt; -CAfile &lt;racine de votre autorité&gt; » — la commande figure, ancre comprise, dans la lettre d'accompagnement.</w:t>
            </w:r>
          </w:p>
        </w:tc>
      </w:tr>
      <w:tr>
        <w:tc>
          <w:tcPr>
            <w:tcW w:type="pct" w:w="22%"/>
            <w:tcMar>
              <w:top w:type="dxa" w:w="80"/>
              <w:left w:type="dxa" w:w="110"/>
              <w:bottom w:type="dxa" w:w="80"/>
              <w:right w:type="dxa" w:w="110"/>
            </w:tcMar>
          </w:tcPr>
          <w:p>
            <w:pPr>
              <w:spacing w:after="0"/>
            </w:pPr>
            <w:r>
              <w:rPr>
                <w:b/>
                <w:bCs/>
                <w:color w:val="4338CA"/>
                <w:sz w:val="17"/>
                <w:szCs w:val="17"/>
              </w:rPr>
              <w:t xml:space="preserve">Conservation légale</w:t>
            </w:r>
          </w:p>
        </w:tc>
        <w:tc>
          <w:tcPr>
            <w:tcW w:type="pct" w:w="48%"/>
            <w:tcMar>
              <w:top w:type="dxa" w:w="80"/>
              <w:left w:type="dxa" w:w="110"/>
              <w:bottom w:type="dxa" w:w="80"/>
              <w:right w:type="dxa" w:w="110"/>
            </w:tcMar>
          </w:tcPr>
          <w:p>
            <w:pPr>
              <w:spacing w:after="0"/>
            </w:pPr>
            <w:r>
              <w:rPr>
                <w:sz w:val="17"/>
                <w:szCs w:val="17"/>
              </w:rPr>
              <w:t xml:space="preserve">Une conservation légale suspend TOUTE suppression dans l'installation, y compris celles qu'un administrateur peut faire par ailleurs et y compris la purge des fichiers d'import depuis la console du serveur. Sa pose et sa levée exigent chacune un motif écrit et sont journalisées.</w:t>
            </w:r>
          </w:p>
        </w:tc>
        <w:tc>
          <w:tcPr>
            <w:tcW w:type="pct" w:w="30%"/>
            <w:tcMar>
              <w:top w:type="dxa" w:w="80"/>
              <w:left w:type="dxa" w:w="110"/>
              <w:bottom w:type="dxa" w:w="80"/>
              <w:right w:type="dxa" w:w="110"/>
            </w:tcMar>
          </w:tcPr>
          <w:p>
            <w:pPr>
              <w:spacing w:after="0"/>
            </w:pPr>
            <w:r>
              <w:rPr>
                <w:color w:val="475569"/>
                <w:sz w:val="17"/>
                <w:szCs w:val="17"/>
              </w:rPr>
              <w:t xml:space="preserve">Poser une conservation légale, puis tenter une suppression autorisée par ailleurs : elle est refusée avec un bandeau qui cite le motif et la date de pose.</w:t>
            </w:r>
          </w:p>
        </w:tc>
      </w:tr>
    </w:tbl>
    <w:p>
      <w:pPr>
        <w:pStyle w:val="Heading1"/>
        <w:spacing w:after="140" w:before="320"/>
      </w:pPr>
      <w:r>
        <w:t xml:space="preserve">4. Ce que contient l'archive d'inspection</w:t>
      </w:r>
    </w:p>
    <w:p>
      <w:pPr>
        <w:spacing w:after="140"/>
      </w:pPr>
      <w:r>
        <w:rPr>
          <w:sz w:val="20"/>
          <w:szCs w:val="20"/>
        </w:rPr>
        <w:t xml:space="preserve">Elle se produit d'un clic depuis Réglages, ou en une commande sur le serveur pour un décommissionnement. Les deux chemins écrivent exactement le même contenu.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6%"/>
            <w:shd w:fill="E0E7FF"/>
            <w:tcMar>
              <w:top w:type="dxa" w:w="80"/>
              <w:left w:type="dxa" w:w="110"/>
              <w:bottom w:type="dxa" w:w="80"/>
              <w:right w:type="dxa" w:w="110"/>
            </w:tcMar>
          </w:tcPr>
          <w:p>
            <w:pPr>
              <w:spacing w:after="0"/>
            </w:pPr>
            <w:r>
              <w:rPr>
                <w:b/>
                <w:bCs/>
                <w:sz w:val="17"/>
                <w:szCs w:val="17"/>
              </w:rPr>
              <w:t xml:space="preserve">Fichier</w:t>
            </w:r>
          </w:p>
        </w:tc>
        <w:tc>
          <w:tcPr>
            <w:tcW w:type="pct" w:w="74%"/>
            <w:shd w:fill="E0E7FF"/>
            <w:tcMar>
              <w:top w:type="dxa" w:w="80"/>
              <w:left w:type="dxa" w:w="110"/>
              <w:bottom w:type="dxa" w:w="80"/>
              <w:right w:type="dxa" w:w="110"/>
            </w:tcMar>
          </w:tcPr>
          <w:p>
            <w:pPr>
              <w:spacing w:after="0"/>
            </w:pPr>
            <w:r>
              <w:rPr>
                <w:b/>
                <w:bCs/>
                <w:sz w:val="17"/>
                <w:szCs w:val="17"/>
              </w:rPr>
              <w:t xml:space="preserve">Contenu</w:t>
            </w:r>
          </w:p>
        </w:tc>
      </w:tr>
      <w:tr>
        <w:tc>
          <w:tcPr>
            <w:tcW w:type="pct" w:w="26%"/>
            <w:tcMar>
              <w:top w:type="dxa" w:w="80"/>
              <w:left w:type="dxa" w:w="110"/>
              <w:bottom w:type="dxa" w:w="80"/>
              <w:right w:type="dxa" w:w="110"/>
            </w:tcMar>
          </w:tcPr>
          <w:p>
            <w:pPr>
              <w:spacing w:after="0"/>
            </w:pPr>
            <w:r>
              <w:rPr>
                <w:b/>
                <w:bCs/>
                <w:color w:val="4338CA"/>
                <w:sz w:val="17"/>
                <w:szCs w:val="17"/>
              </w:rPr>
              <w:t xml:space="preserve">enregistrements/</w:t>
            </w:r>
          </w:p>
        </w:tc>
        <w:tc>
          <w:tcPr>
            <w:tcW w:type="pct" w:w="74%"/>
            <w:tcMar>
              <w:top w:type="dxa" w:w="80"/>
              <w:left w:type="dxa" w:w="110"/>
              <w:bottom w:type="dxa" w:w="80"/>
              <w:right w:type="dxa" w:w="110"/>
            </w:tcMar>
          </w:tcPr>
          <w:p>
            <w:pPr>
              <w:spacing w:after="0"/>
            </w:pPr>
            <w:r>
              <w:rPr>
                <w:sz w:val="17"/>
                <w:szCs w:val="17"/>
              </w:rPr>
              <w:t xml:space="preserve">Les octets figés de chaque enregistrement, au format .docx, tels qu'ils ont été signés — jamais régénérés.</w:t>
            </w:r>
          </w:p>
        </w:tc>
      </w:tr>
      <w:tr>
        <w:tc>
          <w:tcPr>
            <w:tcW w:type="pct" w:w="26%"/>
            <w:tcMar>
              <w:top w:type="dxa" w:w="80"/>
              <w:left w:type="dxa" w:w="110"/>
              <w:bottom w:type="dxa" w:w="80"/>
              <w:right w:type="dxa" w:w="110"/>
            </w:tcMar>
          </w:tcPr>
          <w:p>
            <w:pPr>
              <w:spacing w:after="0"/>
            </w:pPr>
            <w:r>
              <w:rPr>
                <w:b/>
                <w:bCs/>
                <w:color w:val="4338CA"/>
                <w:sz w:val="17"/>
                <w:szCs w:val="17"/>
              </w:rPr>
              <w:t xml:space="preserve">manifeste.csv</w:t>
            </w:r>
          </w:p>
        </w:tc>
        <w:tc>
          <w:tcPr>
            <w:tcW w:type="pct" w:w="74%"/>
            <w:tcMar>
              <w:top w:type="dxa" w:w="80"/>
              <w:left w:type="dxa" w:w="110"/>
              <w:bottom w:type="dxa" w:w="80"/>
              <w:right w:type="dxa" w:w="110"/>
            </w:tcMar>
          </w:tcPr>
          <w:p>
            <w:pPr>
              <w:spacing w:after="0"/>
            </w:pPr>
            <w:r>
              <w:rPr>
                <w:sz w:val="17"/>
                <w:szCs w:val="17"/>
              </w:rPr>
              <w:t xml:space="preserve">Une ligne par enregistrement : document, révision, signataires, empreinte du contenu, empreinte du fichier, intégrité, échéance de rétention.</w:t>
            </w:r>
          </w:p>
        </w:tc>
      </w:tr>
      <w:tr>
        <w:tc>
          <w:tcPr>
            <w:tcW w:type="pct" w:w="26%"/>
            <w:tcMar>
              <w:top w:type="dxa" w:w="80"/>
              <w:left w:type="dxa" w:w="110"/>
              <w:bottom w:type="dxa" w:w="80"/>
              <w:right w:type="dxa" w:w="110"/>
            </w:tcMar>
          </w:tcPr>
          <w:p>
            <w:pPr>
              <w:spacing w:after="0"/>
            </w:pPr>
            <w:r>
              <w:rPr>
                <w:b/>
                <w:bCs/>
                <w:color w:val="4338CA"/>
                <w:sz w:val="17"/>
                <w:szCs w:val="17"/>
              </w:rPr>
              <w:t xml:space="preserve">empreintes.sha256</w:t>
            </w:r>
          </w:p>
        </w:tc>
        <w:tc>
          <w:tcPr>
            <w:tcW w:type="pct" w:w="74%"/>
            <w:tcMar>
              <w:top w:type="dxa" w:w="80"/>
              <w:left w:type="dxa" w:w="110"/>
              <w:bottom w:type="dxa" w:w="80"/>
              <w:right w:type="dxa" w:w="110"/>
            </w:tcMar>
          </w:tcPr>
          <w:p>
            <w:pPr>
              <w:spacing w:after="0"/>
            </w:pPr>
            <w:r>
              <w:rPr>
                <w:sz w:val="17"/>
                <w:szCs w:val="17"/>
              </w:rPr>
              <w:t xml:space="preserve">Les empreintes de tous les fichiers, au format standard de sha256sum. C'est ce fichier que vérifie l'outil du système d'exploitation.</w:t>
            </w:r>
          </w:p>
        </w:tc>
      </w:tr>
      <w:tr>
        <w:tc>
          <w:tcPr>
            <w:tcW w:type="pct" w:w="26%"/>
            <w:tcMar>
              <w:top w:type="dxa" w:w="80"/>
              <w:left w:type="dxa" w:w="110"/>
              <w:bottom w:type="dxa" w:w="80"/>
              <w:right w:type="dxa" w:w="110"/>
            </w:tcMar>
          </w:tcPr>
          <w:p>
            <w:pPr>
              <w:spacing w:after="0"/>
            </w:pPr>
            <w:r>
              <w:rPr>
                <w:b/>
                <w:bCs/>
                <w:color w:val="4338CA"/>
                <w:sz w:val="17"/>
                <w:szCs w:val="17"/>
              </w:rPr>
              <w:t xml:space="preserve">verifier.mjs</w:t>
            </w:r>
          </w:p>
        </w:tc>
        <w:tc>
          <w:tcPr>
            <w:tcW w:type="pct" w:w="74%"/>
            <w:tcMar>
              <w:top w:type="dxa" w:w="80"/>
              <w:left w:type="dxa" w:w="110"/>
              <w:bottom w:type="dxa" w:w="80"/>
              <w:right w:type="dxa" w:w="110"/>
            </w:tcMar>
          </w:tcPr>
          <w:p>
            <w:pPr>
              <w:spacing w:after="0"/>
            </w:pPr>
            <w:r>
              <w:rPr>
                <w:sz w:val="17"/>
                <w:szCs w:val="17"/>
              </w:rPr>
              <w:t xml:space="preserve">Vérificateur autonome, sans dépendance, pour un poste Windows dépourvu de sha256sum.</w:t>
            </w:r>
          </w:p>
        </w:tc>
      </w:tr>
      <w:tr>
        <w:tc>
          <w:tcPr>
            <w:tcW w:type="pct" w:w="26%"/>
            <w:tcMar>
              <w:top w:type="dxa" w:w="80"/>
              <w:left w:type="dxa" w:w="110"/>
              <w:bottom w:type="dxa" w:w="80"/>
              <w:right w:type="dxa" w:w="110"/>
            </w:tcMar>
          </w:tcPr>
          <w:p>
            <w:pPr>
              <w:spacing w:after="0"/>
            </w:pPr>
            <w:r>
              <w:rPr>
                <w:b/>
                <w:bCs/>
                <w:color w:val="4338CA"/>
                <w:sz w:val="17"/>
                <w:szCs w:val="17"/>
              </w:rPr>
              <w:t xml:space="preserve">donnees/</w:t>
            </w:r>
          </w:p>
        </w:tc>
        <w:tc>
          <w:tcPr>
            <w:tcW w:type="pct" w:w="74%"/>
            <w:tcMar>
              <w:top w:type="dxa" w:w="80"/>
              <w:left w:type="dxa" w:w="110"/>
              <w:bottom w:type="dxa" w:w="80"/>
              <w:right w:type="dxa" w:w="110"/>
            </w:tcMar>
          </w:tcPr>
          <w:p>
            <w:pPr>
              <w:spacing w:after="0"/>
            </w:pPr>
            <w:r>
              <w:rPr>
                <w:sz w:val="17"/>
                <w:szCs w:val="17"/>
              </w:rPr>
              <w:t xml:space="preserve">Exports CSV du graphe — exigences, spécifications, protocoles, résultats, risques, études, non-conformités, CAPA, personnes — la matrice de traçabilité et la piste d'audit complète.</w:t>
            </w:r>
          </w:p>
        </w:tc>
      </w:tr>
      <w:tr>
        <w:tc>
          <w:tcPr>
            <w:tcW w:type="pct" w:w="26%"/>
            <w:tcMar>
              <w:top w:type="dxa" w:w="80"/>
              <w:left w:type="dxa" w:w="110"/>
              <w:bottom w:type="dxa" w:w="80"/>
              <w:right w:type="dxa" w:w="110"/>
            </w:tcMar>
          </w:tcPr>
          <w:p>
            <w:pPr>
              <w:spacing w:after="0"/>
            </w:pPr>
            <w:r>
              <w:rPr>
                <w:b/>
                <w:bCs/>
                <w:color w:val="4338CA"/>
                <w:sz w:val="17"/>
                <w:szCs w:val="17"/>
              </w:rPr>
              <w:t xml:space="preserve">LISEZMOI.txt</w:t>
            </w:r>
          </w:p>
        </w:tc>
        <w:tc>
          <w:tcPr>
            <w:tcW w:type="pct" w:w="74%"/>
            <w:tcMar>
              <w:top w:type="dxa" w:w="80"/>
              <w:left w:type="dxa" w:w="110"/>
              <w:bottom w:type="dxa" w:w="80"/>
              <w:right w:type="dxa" w:w="110"/>
            </w:tcMar>
          </w:tcPr>
          <w:p>
            <w:pPr>
              <w:spacing w:after="0"/>
            </w:pPr>
            <w:r>
              <w:rPr>
                <w:sz w:val="17"/>
                <w:szCs w:val="17"/>
              </w:rPr>
              <w:t xml:space="preserve">La lettre d'accompagnement : le nombre à consigner, les commandes de vérification, les réserves éventuelles et la politique de rétention déclarée.</w:t>
            </w:r>
          </w:p>
        </w:tc>
      </w:tr>
    </w:tbl>
    <w:p>
      <w:pPr>
        <w:spacing w:after="160"/>
      </w:pPr>
      <w:r>
        <w:rPr>
          <w:sz w:val="20"/>
          <w:szCs w:val="20"/>
        </w:rPr>
        <w:t xml:space="preserve">Deux empreintes accompagnent chaque enregistrement, et elles ne disent pas la même chose. L'empreinte du CONTENU couvre les valeurs du dossier : c'est elle que la signature atteste, et elle est indépendante de la langue et de la mise en forme. L'empreinte du FICHIER couvre les octets stockés : c'est elle que vérifie sha256sum. Un .docx est une archive zip horodatée — deux générations d'un même contenu ne donnent pas les mêmes octets. C'est pourquoi les enregistrements sont CONSERVÉS et non re-générés : « nous saurons le refaire à l'identique » serait une affirmation fausse, et elle figurerait dans un dossier réglementaire.</w:t>
      </w:r>
    </w:p>
    <w:p>
      <w:pPr>
        <w:pStyle w:val="Heading1"/>
        <w:spacing w:after="140" w:before="320"/>
      </w:pPr>
      <w:r>
        <w:t xml:space="preserve">5. La conservation légale</w:t>
      </w:r>
    </w:p>
    <w:p>
      <w:pPr>
        <w:spacing w:after="140"/>
      </w:pPr>
      <w:r>
        <w:rPr>
          <w:sz w:val="20"/>
          <w:szCs w:val="20"/>
        </w:rPr>
        <w:t xml:space="preserve">Une réclamation arrive, une inspection s'annonce, un litige s'ouvre : à partir de cet instant, toute suppression devient une destruction de preuve, quelle que soit l'intention de celui qui l'exécute. La conservation légale se pose depuis Réglages avec un motif écrit et suspend immédiatement toute suppression dans l'installation — y compris celles qu'un administrateur peut faire par ailleurs, y compris la purge des fichiers d'import lancée depuis la console du serveur.</w:t>
      </w:r>
    </w:p>
    <w:p>
      <w:pPr>
        <w:spacing w:after="140"/>
      </w:pPr>
      <w:r>
        <w:rPr>
          <w:sz w:val="20"/>
          <w:szCs w:val="20"/>
        </w:rPr>
        <w:t xml:space="preserve">Le contrôle est un point de passage unique dans le code, et non un rappel dispersé : une suppression ajoutée plus tard sans y passer serait une échappatoire silencieuse. Un cas de la qualification opérationnelle relit la source à chaque version pour s'en assurer, et échoue si une seule suppression contourne la garde.</w:t>
      </w:r>
    </w:p>
    <w:p>
      <w:pPr>
        <w:spacing w:after="160"/>
      </w:pPr>
      <w:r>
        <w:rPr>
          <w:sz w:val="20"/>
          <w:szCs w:val="20"/>
        </w:rPr>
        <w:t xml:space="preserve">Lever la conservation exige son propre motif, distinct de celui de la pose. C'est le geste sensible des deux : poser ne fait que restreindre, lever rouvre la possibilité de supprimer. La piste d'audit doit donc pouvoir répondre à « qui a rouvert, quand, et sur quelle décision ».</w:t>
      </w:r>
    </w:p>
    <w:p>
      <w:pPr>
        <w:pStyle w:val="Heading1"/>
        <w:spacing w:after="140" w:before="320"/>
      </w:pPr>
      <w:r>
        <w:t xml:space="preserve">6. Vérifier une archive en cinq minutes</w:t>
      </w:r>
    </w:p>
    <w:p>
      <w:pPr>
        <w:spacing w:after="140"/>
      </w:pPr>
      <w:r>
        <w:rPr>
          <w:sz w:val="20"/>
          <w:szCs w:val="20"/>
        </w:rPr>
        <w:t xml:space="preserve">Ce protocole est écrit pour être exécuté par votre responsable qualité, sur un poste où Filum n'est pas installé, sans notre présence.</w:t>
      </w:r>
    </w:p>
    <w:p>
      <w:pPr>
        <w:spacing w:after="90"/>
        <w:ind w:left="300"/>
      </w:pPr>
      <w:r>
        <w:rPr>
          <w:b/>
          <w:bCs/>
          <w:color w:val="4338CA"/>
          <w:sz w:val="20"/>
          <w:szCs w:val="20"/>
        </w:rPr>
        <w:t xml:space="preserve">1. </w:t>
      </w:r>
      <w:r>
        <w:rPr>
          <w:sz w:val="20"/>
          <w:szCs w:val="20"/>
        </w:rPr>
        <w:t xml:space="preserve">Depuis Réglages → Archive d'inspection, télécharger l'archive. La décompresser sur un poste quelconque.</w:t>
      </w:r>
    </w:p>
    <w:p>
      <w:pPr>
        <w:spacing w:after="90"/>
        <w:ind w:left="300"/>
      </w:pPr>
      <w:r>
        <w:rPr>
          <w:b/>
          <w:bCs/>
          <w:color w:val="4338CA"/>
          <w:sz w:val="20"/>
          <w:szCs w:val="20"/>
        </w:rPr>
        <w:t xml:space="preserve">2. </w:t>
      </w:r>
      <w:r>
        <w:rPr>
          <w:sz w:val="20"/>
          <w:szCs w:val="20"/>
        </w:rPr>
        <w:t xml:space="preserve">Ouvrir LISEZMOI.txt et relever le nombre indiqué sous « LE NOMBRE À CONSERVER ».</w:t>
      </w:r>
    </w:p>
    <w:p>
      <w:pPr>
        <w:spacing w:after="90"/>
        <w:ind w:left="300"/>
      </w:pPr>
      <w:r>
        <w:rPr>
          <w:b/>
          <w:bCs/>
          <w:color w:val="4338CA"/>
          <w:sz w:val="20"/>
          <w:szCs w:val="20"/>
        </w:rPr>
        <w:t xml:space="preserve">3. </w:t>
      </w:r>
      <w:r>
        <w:rPr>
          <w:sz w:val="20"/>
          <w:szCs w:val="20"/>
        </w:rPr>
        <w:t xml:space="preserve">Vérifier l'archive entière : « sha256sum -c empreintes.sha256 » sous Linux ou macOS, « node verifier.mjs » ailleurs. Chaque fichier doit ressortir intact.</w:t>
      </w:r>
    </w:p>
    <w:p>
      <w:pPr>
        <w:spacing w:after="90"/>
        <w:ind w:left="300"/>
      </w:pPr>
      <w:r>
        <w:rPr>
          <w:b/>
          <w:bCs/>
          <w:color w:val="4338CA"/>
          <w:sz w:val="20"/>
          <w:szCs w:val="20"/>
        </w:rPr>
        <w:t xml:space="preserve">4. </w:t>
      </w:r>
      <w:r>
        <w:rPr>
          <w:sz w:val="20"/>
          <w:szCs w:val="20"/>
        </w:rPr>
        <w:t xml:space="preserve">Recalculer l'empreinte du fichier d'empreintes lui-même — « certutil -hashfile empreintes.sha256 SHA256 » sous Windows — et la comparer au nombre relevé à l'étape 2.</w:t>
      </w:r>
    </w:p>
    <w:p>
      <w:pPr>
        <w:spacing w:after="90"/>
        <w:ind w:left="300"/>
      </w:pPr>
      <w:r>
        <w:rPr>
          <w:b/>
          <w:bCs/>
          <w:color w:val="4338CA"/>
          <w:sz w:val="20"/>
          <w:szCs w:val="20"/>
        </w:rPr>
        <w:t xml:space="preserve">5. </w:t>
      </w:r>
      <w:r>
        <w:rPr>
          <w:sz w:val="20"/>
          <w:szCs w:val="20"/>
        </w:rPr>
        <w:t xml:space="preserve">Ouvrir manifeste.csv dans un tableur, choisir un enregistrement, ouvrir le .docx correspondant dans enregistrements/ : c'est le document approuvé, avec ses signatures et l'empreinte du contenu attesté.</w:t>
      </w:r>
    </w:p>
    <w:p>
      <w:pPr>
        <w:spacing w:after="90"/>
        <w:ind w:left="300"/>
      </w:pPr>
      <w:r>
        <w:rPr>
          <w:b/>
          <w:bCs/>
          <w:color w:val="4338CA"/>
          <w:sz w:val="20"/>
          <w:szCs w:val="20"/>
        </w:rPr>
        <w:t xml:space="preserve">6. </w:t>
      </w:r>
      <w:r>
        <w:rPr>
          <w:sz w:val="20"/>
          <w:szCs w:val="20"/>
        </w:rPr>
        <w:t xml:space="preserve">Modifier un caractère dans ce .docx, relancer la vérification : le fichier ressort ALTÉRÉ. Restaurer la copie d'origine.</w:t>
      </w:r>
    </w:p>
    <w:p>
      <w:pPr>
        <w:spacing w:after="90"/>
        <w:ind w:left="300"/>
      </w:pPr>
      <w:r>
        <w:rPr>
          <w:b/>
          <w:bCs/>
          <w:color w:val="4338CA"/>
          <w:sz w:val="20"/>
          <w:szCs w:val="20"/>
        </w:rPr>
        <w:t xml:space="preserve">7. </w:t>
      </w:r>
      <w:r>
        <w:rPr>
          <w:sz w:val="20"/>
          <w:szCs w:val="20"/>
        </w:rPr>
        <w:t xml:space="preserve">Consigner le nombre de l'étape 2 dans l'enregistrement de votre revue qualité. C'est ce geste qui rend l'archive opposable.</w:t>
      </w:r>
    </w:p>
    <w:p>
      <w:pPr>
        <w:spacing w:after="160"/>
      </w:pPr>
      <w:r>
        <w:rPr>
          <w:b/>
          <w:bCs/>
          <w:color w:val="047857"/>
          <w:sz w:val="20"/>
          <w:szCs w:val="20"/>
        </w:rPr>
        <w:t xml:space="preserve">Si l'une de ces étapes ne se comporte pas comme décrit, la présente note est fausse et nous voulons le savoir.</w:t>
      </w:r>
    </w:p>
    <w:p>
      <w:pPr>
        <w:pStyle w:val="Heading1"/>
        <w:spacing w:after="140" w:before="320"/>
      </w:pPr>
      <w:r>
        <w:t xml:space="preserve">7. Ce qui reste à votre charge</w:t>
      </w:r>
    </w:p>
    <w:p>
      <w:pPr>
        <w:spacing w:after="60"/>
      </w:pPr>
      <w:r>
        <w:rPr>
          <w:b/>
          <w:bCs/>
          <w:color w:val="4338CA"/>
          <w:sz w:val="20"/>
          <w:szCs w:val="20"/>
        </w:rPr>
        <w:t xml:space="preserve">Décider la durée, et la justifier</w:t>
      </w:r>
    </w:p>
    <w:p>
      <w:pPr>
        <w:spacing w:after="140"/>
      </w:pPr>
      <w:r>
        <w:rPr>
          <w:sz w:val="20"/>
          <w:szCs w:val="20"/>
        </w:rPr>
        <w:t xml:space="preserve">La durée dépend de la durée de vie de votre dispositif, des marchés visés et de votre procédure. Filum vous fait saisir la valeur ET ce qui la fonde, précisément pour que le champ ne se remplisse pas au hasard.</w:t>
      </w:r>
    </w:p>
    <w:p>
      <w:pPr>
        <w:spacing w:after="60"/>
      </w:pPr>
      <w:r>
        <w:rPr>
          <w:b/>
          <w:bCs/>
          <w:color w:val="4338CA"/>
          <w:sz w:val="20"/>
          <w:szCs w:val="20"/>
        </w:rPr>
        <w:t xml:space="preserve">Sauvegarder les deux volumes</w:t>
      </w:r>
    </w:p>
    <w:p>
      <w:pPr>
        <w:spacing w:after="140"/>
      </w:pPr>
      <w:r>
        <w:rPr>
          <w:sz w:val="20"/>
          <w:szCs w:val="20"/>
        </w:rPr>
        <w:t xml:space="preserve">L'archive est un extrait prêt pour l'inspection, pas une sauvegarde. La copie complète du système reste la sauvegarde conjointe de la base et du volume de fichiers, décrite dans le guide d'installation avec son contrôle.</w:t>
      </w:r>
    </w:p>
    <w:p>
      <w:pPr>
        <w:spacing w:after="60"/>
      </w:pPr>
      <w:r>
        <w:rPr>
          <w:b/>
          <w:bCs/>
          <w:color w:val="4338CA"/>
          <w:sz w:val="20"/>
          <w:szCs w:val="20"/>
        </w:rPr>
        <w:t xml:space="preserve">Produire une archive aux moments qui comptent</w:t>
      </w:r>
    </w:p>
    <w:p>
      <w:pPr>
        <w:spacing w:after="140"/>
      </w:pPr>
      <w:r>
        <w:rPr>
          <w:sz w:val="20"/>
          <w:szCs w:val="20"/>
        </w:rPr>
        <w:t xml:space="preserve">À chaque revue de direction, avant chaque mise à jour majeure, à la clôture d'un programme et au décommissionnement. Consignez l'empreinte du fichier d'empreintes dans l'enregistrement de la revue : c'est ce geste, et lui seul, qui rend l'archive opposable des années plus tard.</w:t>
      </w:r>
    </w:p>
    <w:p>
      <w:pPr>
        <w:spacing w:after="60"/>
      </w:pPr>
      <w:r>
        <w:rPr>
          <w:b/>
          <w:bCs/>
          <w:color w:val="4338CA"/>
          <w:sz w:val="20"/>
          <w:szCs w:val="20"/>
        </w:rPr>
        <w:t xml:space="preserve">Conserver l'archive hors du système</w:t>
      </w:r>
    </w:p>
    <w:p>
      <w:pPr>
        <w:spacing w:after="140"/>
      </w:pPr>
      <w:r>
        <w:rPr>
          <w:sz w:val="20"/>
          <w:szCs w:val="20"/>
        </w:rPr>
        <w:t xml:space="preserve">Une archive laissée sur le serveur qu'elle doit survivre ne protège de rien. Support hors ligne, coffre documentaire, second site — le choix vous appartient, le principe non.</w:t>
      </w:r>
    </w:p>
    <w:p>
      <w:pPr>
        <w:spacing w:after="60"/>
      </w:pPr>
      <w:r>
        <w:rPr>
          <w:b/>
          <w:bCs/>
          <w:color w:val="4338CA"/>
          <w:sz w:val="20"/>
          <w:szCs w:val="20"/>
        </w:rPr>
        <w:t xml:space="preserve">Poser la conservation légale au bon moment</w:t>
      </w:r>
    </w:p>
    <w:p>
      <w:pPr>
        <w:spacing w:after="140"/>
      </w:pPr>
      <w:r>
        <w:rPr>
          <w:sz w:val="20"/>
          <w:szCs w:val="20"/>
        </w:rPr>
        <w:t xml:space="preserve">Filum ne sait pas qu'une réclamation est arrivée. La pose relève de votre procédure ; le logiciel ne fait qu'exécuter la suspension sans exception une fois qu'elle est posée.</w:t>
      </w:r>
    </w:p>
    <w:p>
      <w:pPr>
        <w:pStyle w:val="Heading1"/>
        <w:spacing w:after="140" w:before="320"/>
      </w:pPr>
      <w:r>
        <w:t xml:space="preserve">8. Ce que ce mécanisme ne couvre pas</w:t>
      </w:r>
    </w:p>
    <w:p>
      <w:pPr>
        <w:spacing w:after="140"/>
      </w:pPr>
      <w:r>
        <w:rPr>
          <w:sz w:val="20"/>
          <w:szCs w:val="20"/>
        </w:rPr>
        <w:t xml:space="preserve">Ces points figurent également dans la matrice 21 CFR Part 11 remise avec le logiciel. Aucun n'empêche l'usage de Filum ; chacun doit être connu de votre responsable qualité avant déploiement.</w:t>
      </w:r>
    </w:p>
    <w:p>
      <w:pPr>
        <w:spacing w:after="60"/>
      </w:pPr>
      <w:r>
        <w:rPr>
          <w:b/>
          <w:bCs/>
          <w:color w:val="B45309"/>
          <w:sz w:val="20"/>
          <w:szCs w:val="20"/>
        </w:rPr>
        <w:t xml:space="preserve">La conservation légale porte sur l'installation entière</w:t>
      </w:r>
    </w:p>
    <w:p>
      <w:pPr>
        <w:spacing w:after="140"/>
      </w:pPr>
      <w:r>
        <w:rPr>
          <w:sz w:val="20"/>
          <w:szCs w:val="20"/>
        </w:rPr>
        <w:t xml:space="preserve">Filum ne sait pas restreindre une suspension à un programme, à un lot ou à un litige : quand elle est posée, plus rien ne se supprime. C'est volontairement grossier — un périmètre trop large gêne, un périmètre trop étroit laisse détruire une pièce. Si votre procédure exige un périmètre par affaire, tenez-le hors du logiciel.</w:t>
      </w:r>
    </w:p>
    <w:p>
      <w:pPr>
        <w:spacing w:after="60"/>
      </w:pPr>
      <w:r>
        <w:rPr>
          <w:b/>
          <w:bCs/>
          <w:color w:val="B45309"/>
          <w:sz w:val="20"/>
          <w:szCs w:val="20"/>
        </w:rPr>
        <w:t xml:space="preserve">L'archive ne rejoue pas le graphe</w:t>
      </w:r>
    </w:p>
    <w:p>
      <w:pPr>
        <w:spacing w:after="140"/>
      </w:pPr>
      <w:r>
        <w:rPr>
          <w:sz w:val="20"/>
          <w:szCs w:val="20"/>
        </w:rPr>
        <w:t xml:space="preserve">Elle restitue les enregistrements, les tables et la piste d'audit ; elle ne restitue pas l'application. Retrouver l'analyse d'impact d'une exigence dix ans plus tard suppose de relire des CSV, pas de cliquer dans une interface. C'est le prix de l'indépendance vis-à-vis de l'éditeur, et nous le préférons à l'inverse.</w:t>
      </w:r>
    </w:p>
    <w:p>
      <w:pPr>
        <w:spacing w:after="60"/>
      </w:pPr>
      <w:r>
        <w:rPr>
          <w:b/>
          <w:bCs/>
          <w:color w:val="B45309"/>
          <w:sz w:val="20"/>
          <w:szCs w:val="20"/>
        </w:rPr>
        <w:t xml:space="preserve">Enregistrements approuvés avant l'approbation par révision</w:t>
      </w:r>
    </w:p>
    <w:p>
      <w:pPr>
        <w:spacing w:after="140"/>
      </w:pPr>
      <w:r>
        <w:rPr>
          <w:sz w:val="20"/>
          <w:szCs w:val="20"/>
        </w:rPr>
        <w:t xml:space="preserve">L'approbation appartient désormais à une révision : ouvrir la suivante crée de nouvelles lignes et laisse intactes celles de la révision publiée, avec leur signataire, leur horodatage, l'instantané signé et l'empreinte du contenu attesté. Les révisions approuvées AVANT ce changement avaient vu leurs lignes réécrites : leurs signatures subsistent dans la piste d'audit, en ajout seul, et l'archive les rattache par là — son manifeste indique alors « reconstruit depuis la piste d'audit » au lieu de « lien direct en base ». Rien n'a été reconstitué en base : une liaison fabriquée après coup n'en serait pas une.</w:t>
      </w:r>
    </w:p>
    <w:p>
      <w:pPr>
        <w:pStyle w:val="Heading1"/>
        <w:spacing w:after="140" w:before="320"/>
      </w:pPr>
      <w:r>
        <w:t xml:space="preserve">9. Formulation utilisable dans votre documentation qualité</w:t>
      </w:r>
    </w:p>
    <w:p>
      <w:pPr>
        <w:spacing w:after="140"/>
      </w:pPr>
      <w:r>
        <w:rPr>
          <w:sz w:val="20"/>
          <w:szCs w:val="20"/>
        </w:rPr>
        <w:t xml:space="preserve">Cette note ne rend pas votre organisation conforme, et Filum n'est pas « conforme 21 CFR Part 11 » : la conformité appartient à l'organisation qui exploite le système, et la certification §11.100(c) est un acte de cette organisation auprès de la FDA. Formulation utilisable :</w:t>
      </w:r>
    </w:p>
    <w:p>
      <w:pPr>
        <w:spacing w:after="200"/>
        <w:ind w:left="400" w:right="400"/>
      </w:pPr>
      <w:r>
        <w:rPr>
          <w:i/>
          <w:iCs/>
          <w:sz w:val="17"/>
          <w:szCs w:val="17"/>
        </w:rPr>
        <w:t xml:space="preserve">« La durée de conservation des enregistrements de conception est définie par [référence de procédure] et déclarée dans le système, qui la reporte sur chaque enregistrement archivé. Le système n'applique aucune suppression automatique à l'échéance. Les enregistrements approuvés sont extraits périodiquement sous forme d'archive indépendante du logiciel, comprenant les fichiers approuvés octet pour octet, leurs empreintes SHA-256 vérifiables par outil standard, la piste d'audit complète et les exports du dossier. L'empreinte de la liste d'empreintes est consignée dans l'enregistrement de la revue de direction correspondante. Une conservation légale peut être posée à tout moment et suspend, sans exception, toute suppression dans le système. »</w:t>
      </w:r>
    </w:p>
    <w:p>
      <w:pPr>
        <w:spacing w:after="200"/>
      </w:pPr>
      <w:r>
        <w:rPr>
          <w:b/>
          <w:bCs/>
          <w:sz w:val="20"/>
          <w:szCs w:val="20"/>
        </w:rPr>
        <w:t xml:space="preserve">À l'inverse, n'écrivez jamais que le logiciel « purge automatiquement à l'échéance de rétention » : il ne le fait pas, et une procédure qui l'affirmerait serait démentie au premier audit.</w:t>
      </w:r>
    </w:p>
    <w:sectPr>
      <w:headerReference w:type="default" r:id="rId7"/>
      <w:footerReference w:type="default" r:id="rId8"/>
      <w:pgSz w:w="11906" w:h="16838" w:orient="portrait"/>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5"/>
        <w:szCs w:val="15"/>
      </w:rPr>
      <w:t xml:space="preserve">Page </w:t>
    </w:r>
    <w:r>
      <w:rPr>
        <w:color w:val="475569"/>
        <w:sz w:val="15"/>
        <w:szCs w:val="15"/>
      </w:rPr>
      <w:fldChar w:fldCharType="begin"/>
      <w:instrText xml:space="preserve">PAGE</w:instrText>
      <w:fldChar w:fldCharType="separate"/>
      <w:fldChar w:fldCharType="end"/>
    </w:r>
    <w:r>
      <w:rPr>
        <w:color w:val="475569"/>
        <w:sz w:val="15"/>
        <w:szCs w:val="15"/>
      </w:rPr>
      <w:t xml:space="preserve"> sur </w:t>
    </w:r>
    <w:r>
      <w:rPr>
        <w:color w:val="475569"/>
        <w:sz w:val="15"/>
        <w:szCs w:val="15"/>
      </w:rPr>
      <w:fldChar w:fldCharType="begin"/>
      <w:instrText xml:space="preserve">NUMPAGES</w:instrText>
      <w:fldChar w:fldCharType="separate"/>
      <w:fldChar w:fldCharType="end"/>
    </w:r>
    <w:r>
      <w:rPr>
        <w:color w:val="475569"/>
        <w:sz w:val="15"/>
        <w:szCs w:val="15"/>
      </w:rPr>
      <w:t xml:space="preserve">   ·   À lire avec la matrice 21 CFR Part 11 et la note d'intégrité des données.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475569"/>
        <w:sz w:val="15"/>
        <w:szCs w:val="15"/>
      </w:rPr>
      <w:t xml:space="preserve">Filum — Rétention et archivage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4338CA"/>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position — rétention et archivage</dc:title>
  <dc:creator>Un-named</dc:creator>
  <cp:lastModifiedBy>Un-named</cp:lastModifiedBy>
  <cp:revision>1</cp:revision>
  <dcterms:created xsi:type="dcterms:W3CDTF">2026-10-01T11:27:38.566Z</dcterms:created>
  <dcterms:modified xsi:type="dcterms:W3CDTF">2026-10-01T11:27:38.567Z</dcterms:modified>
</cp:coreProperties>
</file>

<file path=docProps/custom.xml><?xml version="1.0" encoding="utf-8"?>
<Properties xmlns="http://schemas.openxmlformats.org/officeDocument/2006/custom-properties" xmlns:vt="http://schemas.openxmlformats.org/officeDocument/2006/docPropsVTypes"/>
</file>