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b/>
          <w:bCs/>
          <w:color w:val="4338CA"/>
          <w:sz w:val="44"/>
          <w:szCs w:val="44"/>
        </w:rPr>
        <w:t xml:space="preserve">Filum</w:t>
      </w:r>
    </w:p>
    <w:p>
      <w:pPr>
        <w:spacing w:after="60"/>
        <w:jc w:val="center"/>
      </w:pPr>
      <w:r>
        <w:rPr>
          <w:b/>
          <w:bCs/>
          <w:sz w:val="34"/>
          <w:szCs w:val="34"/>
        </w:rPr>
        <w:t xml:space="preserve">Protocole de qualification d'installation</w:t>
      </w:r>
    </w:p>
    <w:p>
      <w:pPr>
        <w:spacing w:after="700"/>
        <w:jc w:val="center"/>
      </w:pPr>
      <w:r>
        <w:rPr>
          <w:color w:val="475569"/>
          <w:sz w:val="22"/>
          <w:szCs w:val="22"/>
        </w:rPr>
        <w:t xml:space="preserve">À exécuter et signer par votre organisation</w:t>
      </w:r>
    </w:p>
    <w:p>
      <w:pPr>
        <w:pStyle w:val="Heading1"/>
        <w:spacing w:after="140" w:before="320"/>
      </w:pPr>
      <w:r>
        <w:t xml:space="preserve">1. Objet</w:t>
      </w:r>
    </w:p>
    <w:p>
      <w:pPr>
        <w:spacing w:after="120"/>
      </w:pPr>
      <w:r>
        <w:rPr>
          <w:sz w:val="20"/>
          <w:szCs w:val="20"/>
        </w:rPr>
        <w:t xml:space="preserve">Ce protocole qualifie l'INSTALLATION de Filum version 1.2.1 sur votre infrastructure. Il est conçu pour être exécuté par la personne ou le prestataire qui administre vos serveurs — pas par votre ingénieur qualité : les opérations relèvent de l'exploitation informatique.</w:t>
      </w:r>
    </w:p>
    <w:p>
      <w:pPr>
        <w:spacing w:after="160"/>
      </w:pPr>
      <w:r>
        <w:rPr>
          <w:sz w:val="20"/>
          <w:szCs w:val="20"/>
        </w:rPr>
        <w:t xml:space="preserve">L'éditeur ne peut pas exécuter cette qualification à votre place : Filum s'installe chez vous, sur des machines qu'il ne connaît pas, avec votre politique de sauvegarde et votre terminaison TLS. Le rapport de qualification opérationnelle, lui, est fourni exécuté — il figure dans le dossier de validation remis avec ce protocole.</w:t>
      </w:r>
    </w:p>
    <w:p>
      <w:pPr>
        <w:pStyle w:val="Heading2"/>
        <w:spacing w:after="140" w:before="320"/>
      </w:pPr>
      <w:r>
        <w:t xml:space="preserve">2. Identification de l'installation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4%"/>
            <w:shd w:fill="F8FAFC"/>
            <w:tcMar>
              <w:top w:type="dxa" w:w="80"/>
              <w:left w:type="dxa" w:w="110"/>
              <w:bottom w:type="dxa" w:w="80"/>
              <w:right w:type="dxa" w:w="110"/>
            </w:tcMar>
          </w:tcPr>
          <w:p>
            <w:pPr>
              <w:spacing w:after="0"/>
            </w:pPr>
            <w:r>
              <w:rPr>
                <w:b/>
                <w:bCs/>
                <w:sz w:val="17"/>
                <w:szCs w:val="17"/>
              </w:rPr>
              <w:t xml:space="preserve">Organisation</w:t>
            </w:r>
          </w:p>
        </w:tc>
        <w:tc>
          <w:tcPr>
            <w:tcW w:type="pct" w:w="66%"/>
            <w:tcMar>
              <w:top w:type="dxa" w:w="80"/>
              <w:left w:type="dxa" w:w="110"/>
              <w:bottom w:type="dxa" w:w="80"/>
              <w:right w:type="dxa" w:w="110"/>
            </w:tcMar>
          </w:tcPr>
          <w:p>
            <w:pPr>
              <w:spacing w:after="0"/>
            </w:pPr>
            <w:r>
              <w:rPr>
                <w:sz w:val="17"/>
                <w:szCs w:val="17"/>
              </w:rPr>
              <w:t xml:space="preserve"> </w:t>
            </w:r>
          </w:p>
        </w:tc>
      </w:tr>
      <w:tr>
        <w:tc>
          <w:tcPr>
            <w:tcW w:type="pct" w:w="34%"/>
            <w:shd w:fill="F8FAFC"/>
            <w:tcMar>
              <w:top w:type="dxa" w:w="80"/>
              <w:left w:type="dxa" w:w="110"/>
              <w:bottom w:type="dxa" w:w="80"/>
              <w:right w:type="dxa" w:w="110"/>
            </w:tcMar>
          </w:tcPr>
          <w:p>
            <w:pPr>
              <w:spacing w:after="0"/>
            </w:pPr>
            <w:r>
              <w:rPr>
                <w:b/>
                <w:bCs/>
                <w:sz w:val="17"/>
                <w:szCs w:val="17"/>
              </w:rPr>
              <w:t xml:space="preserve">Serveur cible (nom, environnement)</w:t>
            </w:r>
          </w:p>
        </w:tc>
        <w:tc>
          <w:tcPr>
            <w:tcW w:type="pct" w:w="66%"/>
            <w:tcMar>
              <w:top w:type="dxa" w:w="80"/>
              <w:left w:type="dxa" w:w="110"/>
              <w:bottom w:type="dxa" w:w="80"/>
              <w:right w:type="dxa" w:w="110"/>
            </w:tcMar>
          </w:tcPr>
          <w:p>
            <w:pPr>
              <w:spacing w:after="0"/>
            </w:pPr>
            <w:r>
              <w:rPr>
                <w:sz w:val="17"/>
                <w:szCs w:val="17"/>
              </w:rPr>
              <w:t xml:space="preserve"> </w:t>
            </w:r>
          </w:p>
        </w:tc>
      </w:tr>
      <w:tr>
        <w:tc>
          <w:tcPr>
            <w:tcW w:type="pct" w:w="34%"/>
            <w:shd w:fill="F8FAFC"/>
            <w:tcMar>
              <w:top w:type="dxa" w:w="80"/>
              <w:left w:type="dxa" w:w="110"/>
              <w:bottom w:type="dxa" w:w="80"/>
              <w:right w:type="dxa" w:w="110"/>
            </w:tcMar>
          </w:tcPr>
          <w:p>
            <w:pPr>
              <w:spacing w:after="0"/>
            </w:pPr>
            <w:r>
              <w:rPr>
                <w:b/>
                <w:bCs/>
                <w:sz w:val="17"/>
                <w:szCs w:val="17"/>
              </w:rPr>
              <w:t xml:space="preserve">Version de l'image installée</w:t>
            </w:r>
          </w:p>
        </w:tc>
        <w:tc>
          <w:tcPr>
            <w:tcW w:type="pct" w:w="66%"/>
            <w:tcMar>
              <w:top w:type="dxa" w:w="80"/>
              <w:left w:type="dxa" w:w="110"/>
              <w:bottom w:type="dxa" w:w="80"/>
              <w:right w:type="dxa" w:w="110"/>
            </w:tcMar>
          </w:tcPr>
          <w:p>
            <w:pPr>
              <w:spacing w:after="0"/>
            </w:pPr>
            <w:r>
              <w:rPr>
                <w:sz w:val="17"/>
                <w:szCs w:val="17"/>
              </w:rPr>
              <w:t xml:space="preserve"> </w:t>
            </w:r>
          </w:p>
        </w:tc>
      </w:tr>
      <w:tr>
        <w:tc>
          <w:tcPr>
            <w:tcW w:type="pct" w:w="34%"/>
            <w:shd w:fill="F8FAFC"/>
            <w:tcMar>
              <w:top w:type="dxa" w:w="80"/>
              <w:left w:type="dxa" w:w="110"/>
              <w:bottom w:type="dxa" w:w="80"/>
              <w:right w:type="dxa" w:w="110"/>
            </w:tcMar>
          </w:tcPr>
          <w:p>
            <w:pPr>
              <w:spacing w:after="0"/>
            </w:pPr>
            <w:r>
              <w:rPr>
                <w:b/>
                <w:bCs/>
                <w:sz w:val="17"/>
                <w:szCs w:val="17"/>
              </w:rPr>
              <w:t xml:space="preserve">Empreinte de l'image (digest)</w:t>
            </w:r>
          </w:p>
        </w:tc>
        <w:tc>
          <w:tcPr>
            <w:tcW w:type="pct" w:w="66%"/>
            <w:tcMar>
              <w:top w:type="dxa" w:w="80"/>
              <w:left w:type="dxa" w:w="110"/>
              <w:bottom w:type="dxa" w:w="80"/>
              <w:right w:type="dxa" w:w="110"/>
            </w:tcMar>
          </w:tcPr>
          <w:p>
            <w:pPr>
              <w:spacing w:after="0"/>
            </w:pPr>
            <w:r>
              <w:rPr>
                <w:sz w:val="17"/>
                <w:szCs w:val="17"/>
              </w:rPr>
              <w:t xml:space="preserve"> </w:t>
            </w:r>
          </w:p>
        </w:tc>
      </w:tr>
      <w:tr>
        <w:tc>
          <w:tcPr>
            <w:tcW w:type="pct" w:w="34%"/>
            <w:shd w:fill="F8FAFC"/>
            <w:tcMar>
              <w:top w:type="dxa" w:w="80"/>
              <w:left w:type="dxa" w:w="110"/>
              <w:bottom w:type="dxa" w:w="80"/>
              <w:right w:type="dxa" w:w="110"/>
            </w:tcMar>
          </w:tcPr>
          <w:p>
            <w:pPr>
              <w:spacing w:after="0"/>
            </w:pPr>
            <w:r>
              <w:rPr>
                <w:b/>
                <w:bCs/>
                <w:sz w:val="17"/>
                <w:szCs w:val="17"/>
              </w:rPr>
              <w:t xml:space="preserve">Date d'exécution</w:t>
            </w:r>
          </w:p>
        </w:tc>
        <w:tc>
          <w:tcPr>
            <w:tcW w:type="pct" w:w="66%"/>
            <w:tcMar>
              <w:top w:type="dxa" w:w="80"/>
              <w:left w:type="dxa" w:w="110"/>
              <w:bottom w:type="dxa" w:w="80"/>
              <w:right w:type="dxa" w:w="110"/>
            </w:tcMar>
          </w:tcPr>
          <w:p>
            <w:pPr>
              <w:spacing w:after="0"/>
            </w:pPr>
            <w:r>
              <w:rPr>
                <w:sz w:val="17"/>
                <w:szCs w:val="17"/>
              </w:rPr>
              <w:t xml:space="preserve"> </w:t>
            </w:r>
          </w:p>
        </w:tc>
      </w:tr>
      <w:tr>
        <w:tc>
          <w:tcPr>
            <w:tcW w:type="pct" w:w="34%"/>
            <w:shd w:fill="F8FAFC"/>
            <w:tcMar>
              <w:top w:type="dxa" w:w="80"/>
              <w:left w:type="dxa" w:w="110"/>
              <w:bottom w:type="dxa" w:w="80"/>
              <w:right w:type="dxa" w:w="110"/>
            </w:tcMar>
          </w:tcPr>
          <w:p>
            <w:pPr>
              <w:spacing w:after="0"/>
            </w:pPr>
            <w:r>
              <w:rPr>
                <w:b/>
                <w:bCs/>
                <w:sz w:val="17"/>
                <w:szCs w:val="17"/>
              </w:rPr>
              <w:t xml:space="preserve">Exécutant (nom, fonction)</w:t>
            </w:r>
          </w:p>
        </w:tc>
        <w:tc>
          <w:tcPr>
            <w:tcW w:type="pct" w:w="66%"/>
            <w:tcMar>
              <w:top w:type="dxa" w:w="80"/>
              <w:left w:type="dxa" w:w="110"/>
              <w:bottom w:type="dxa" w:w="80"/>
              <w:right w:type="dxa" w:w="110"/>
            </w:tcMar>
          </w:tcPr>
          <w:p>
            <w:pPr>
              <w:spacing w:after="0"/>
            </w:pPr>
            <w:r>
              <w:rPr>
                <w:sz w:val="17"/>
                <w:szCs w:val="17"/>
              </w:rPr>
              <w:t xml:space="preserve"> </w:t>
            </w:r>
          </w:p>
        </w:tc>
      </w:tr>
    </w:tbl>
    <w:p>
      <w:pPr>
        <w:pStyle w:val="Heading1"/>
        <w:spacing w:after="140" w:before="320"/>
      </w:pPr>
      <w:r>
        <w:t xml:space="preserve">3. Étapes de qualification</w:t>
      </w:r>
    </w:p>
    <w:p>
      <w:pPr>
        <w:spacing w:after="140"/>
      </w:pPr>
      <w:r>
        <w:rPr>
          <w:sz w:val="20"/>
          <w:szCs w:val="20"/>
        </w:rPr>
        <w:t xml:space="preserve">Chaque étape se conclut par un verdict. Une étape en écart n'interdit pas la mise en service, mais doit être justifiée par écrit et, si nécessaire, couverte par une mesure compensatoire dans votre système qualité.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7%"/>
            <w:shd w:fill="E0E7FF"/>
            <w:tcMar>
              <w:top w:type="dxa" w:w="80"/>
              <w:left w:type="dxa" w:w="110"/>
              <w:bottom w:type="dxa" w:w="80"/>
              <w:right w:type="dxa" w:w="110"/>
            </w:tcMar>
          </w:tcPr>
          <w:p>
            <w:pPr>
              <w:spacing w:after="0"/>
            </w:pPr>
            <w:r>
              <w:rPr>
                <w:b/>
                <w:bCs/>
                <w:sz w:val="17"/>
                <w:szCs w:val="17"/>
              </w:rPr>
              <w:t xml:space="preserve">Réf.</w:t>
            </w:r>
          </w:p>
        </w:tc>
        <w:tc>
          <w:tcPr>
            <w:tcW w:type="pct" w:w="17%"/>
            <w:shd w:fill="E0E7FF"/>
            <w:tcMar>
              <w:top w:type="dxa" w:w="80"/>
              <w:left w:type="dxa" w:w="110"/>
              <w:bottom w:type="dxa" w:w="80"/>
              <w:right w:type="dxa" w:w="110"/>
            </w:tcMar>
          </w:tcPr>
          <w:p>
            <w:pPr>
              <w:spacing w:after="0"/>
            </w:pPr>
            <w:r>
              <w:rPr>
                <w:b/>
                <w:bCs/>
                <w:sz w:val="17"/>
                <w:szCs w:val="17"/>
              </w:rPr>
              <w:t xml:space="preserve">Objet</w:t>
            </w:r>
          </w:p>
        </w:tc>
        <w:tc>
          <w:tcPr>
            <w:tcW w:type="pct" w:w="32%"/>
            <w:shd w:fill="E0E7FF"/>
            <w:tcMar>
              <w:top w:type="dxa" w:w="80"/>
              <w:left w:type="dxa" w:w="110"/>
              <w:bottom w:type="dxa" w:w="80"/>
              <w:right w:type="dxa" w:w="110"/>
            </w:tcMar>
          </w:tcPr>
          <w:p>
            <w:pPr>
              <w:spacing w:after="0"/>
            </w:pPr>
            <w:r>
              <w:rPr>
                <w:b/>
                <w:bCs/>
                <w:sz w:val="17"/>
                <w:szCs w:val="17"/>
              </w:rPr>
              <w:t xml:space="preserve">Opération à réaliser</w:t>
            </w:r>
          </w:p>
        </w:tc>
        <w:tc>
          <w:tcPr>
            <w:tcW w:type="pct" w:w="28%"/>
            <w:shd w:fill="E0E7FF"/>
            <w:tcMar>
              <w:top w:type="dxa" w:w="80"/>
              <w:left w:type="dxa" w:w="110"/>
              <w:bottom w:type="dxa" w:w="80"/>
              <w:right w:type="dxa" w:w="110"/>
            </w:tcMar>
          </w:tcPr>
          <w:p>
            <w:pPr>
              <w:spacing w:after="0"/>
            </w:pPr>
            <w:r>
              <w:rPr>
                <w:b/>
                <w:bCs/>
                <w:sz w:val="17"/>
                <w:szCs w:val="17"/>
              </w:rPr>
              <w:t xml:space="preserve">Critère d'acceptation</w:t>
            </w:r>
          </w:p>
        </w:tc>
        <w:tc>
          <w:tcPr>
            <w:tcW w:type="pct" w:w="16%"/>
            <w:shd w:fill="E0E7FF"/>
            <w:tcMar>
              <w:top w:type="dxa" w:w="80"/>
              <w:left w:type="dxa" w:w="110"/>
              <w:bottom w:type="dxa" w:w="80"/>
              <w:right w:type="dxa" w:w="110"/>
            </w:tcMar>
          </w:tcPr>
          <w:p>
            <w:pPr>
              <w:spacing w:after="0"/>
            </w:pPr>
            <w:r>
              <w:rPr>
                <w:b/>
                <w:bCs/>
                <w:sz w:val="17"/>
                <w:szCs w:val="17"/>
              </w:rPr>
              <w:t xml:space="preserve">Résultat / verdict</w:t>
            </w:r>
          </w:p>
        </w:tc>
      </w:tr>
      <w:tr>
        <w:tc>
          <w:tcPr>
            <w:tcW w:type="pct" w:w="7%"/>
            <w:tcMar>
              <w:top w:type="dxa" w:w="80"/>
              <w:left w:type="dxa" w:w="110"/>
              <w:bottom w:type="dxa" w:w="80"/>
              <w:right w:type="dxa" w:w="110"/>
            </w:tcMar>
          </w:tcPr>
          <w:p>
            <w:pPr>
              <w:spacing w:after="0"/>
            </w:pPr>
            <w:r>
              <w:rPr>
                <w:b/>
                <w:bCs/>
                <w:color w:val="4338CA"/>
                <w:sz w:val="17"/>
                <w:szCs w:val="17"/>
              </w:rPr>
              <w:t xml:space="preserve">IQ-01</w:t>
            </w:r>
          </w:p>
        </w:tc>
        <w:tc>
          <w:tcPr>
            <w:tcW w:type="pct" w:w="17%"/>
            <w:tcMar>
              <w:top w:type="dxa" w:w="80"/>
              <w:left w:type="dxa" w:w="110"/>
              <w:bottom w:type="dxa" w:w="80"/>
              <w:right w:type="dxa" w:w="110"/>
            </w:tcMar>
          </w:tcPr>
          <w:p>
            <w:pPr>
              <w:spacing w:after="0"/>
            </w:pPr>
            <w:r>
              <w:rPr>
                <w:b/>
                <w:bCs/>
                <w:sz w:val="17"/>
                <w:szCs w:val="17"/>
              </w:rPr>
              <w:t xml:space="preserve">Prérequis matériel et système</w:t>
            </w:r>
          </w:p>
        </w:tc>
        <w:tc>
          <w:tcPr>
            <w:tcW w:type="pct" w:w="32%"/>
            <w:tcMar>
              <w:top w:type="dxa" w:w="80"/>
              <w:left w:type="dxa" w:w="110"/>
              <w:bottom w:type="dxa" w:w="80"/>
              <w:right w:type="dxa" w:w="110"/>
            </w:tcMar>
          </w:tcPr>
          <w:p>
            <w:pPr>
              <w:spacing w:after="0"/>
            </w:pPr>
            <w:r>
              <w:rPr>
                <w:sz w:val="17"/>
                <w:szCs w:val="17"/>
              </w:rPr>
              <w:t xml:space="preserve">Relever le système d'exploitation, la version de Docker Engine et de docker compose, la RAM et l'espace disque disponibles du serveur cible.</w:t>
            </w:r>
          </w:p>
        </w:tc>
        <w:tc>
          <w:tcPr>
            <w:tcW w:type="pct" w:w="28%"/>
            <w:tcMar>
              <w:top w:type="dxa" w:w="80"/>
              <w:left w:type="dxa" w:w="110"/>
              <w:bottom w:type="dxa" w:w="80"/>
              <w:right w:type="dxa" w:w="110"/>
            </w:tcMar>
          </w:tcPr>
          <w:p>
            <w:pPr>
              <w:spacing w:after="0"/>
            </w:pPr>
            <w:r>
              <w:rPr>
                <w:sz w:val="17"/>
                <w:szCs w:val="17"/>
              </w:rPr>
              <w:t xml:space="preserve">Docker Engine 24 ou supérieur, docker compose disponible, 1 Go de RAM et 2 Go de disque libres au minimum.</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Conforme / Écart</w:t>
            </w:r>
          </w:p>
        </w:tc>
      </w:tr>
      <w:tr>
        <w:tc>
          <w:tcPr>
            <w:tcW w:type="pct" w:w="7%"/>
            <w:tcMar>
              <w:top w:type="dxa" w:w="80"/>
              <w:left w:type="dxa" w:w="110"/>
              <w:bottom w:type="dxa" w:w="80"/>
              <w:right w:type="dxa" w:w="110"/>
            </w:tcMar>
          </w:tcPr>
          <w:p>
            <w:pPr>
              <w:spacing w:after="0"/>
            </w:pPr>
            <w:r>
              <w:rPr>
                <w:b/>
                <w:bCs/>
                <w:color w:val="4338CA"/>
                <w:sz w:val="17"/>
                <w:szCs w:val="17"/>
              </w:rPr>
              <w:t xml:space="preserve">IQ-02</w:t>
            </w:r>
          </w:p>
        </w:tc>
        <w:tc>
          <w:tcPr>
            <w:tcW w:type="pct" w:w="17%"/>
            <w:tcMar>
              <w:top w:type="dxa" w:w="80"/>
              <w:left w:type="dxa" w:w="110"/>
              <w:bottom w:type="dxa" w:w="80"/>
              <w:right w:type="dxa" w:w="110"/>
            </w:tcMar>
          </w:tcPr>
          <w:p>
            <w:pPr>
              <w:spacing w:after="0"/>
            </w:pPr>
            <w:r>
              <w:rPr>
                <w:b/>
                <w:bCs/>
                <w:sz w:val="17"/>
                <w:szCs w:val="17"/>
              </w:rPr>
              <w:t xml:space="preserve">Intégrité de l'image livrée</w:t>
            </w:r>
          </w:p>
        </w:tc>
        <w:tc>
          <w:tcPr>
            <w:tcW w:type="pct" w:w="32%"/>
            <w:tcMar>
              <w:top w:type="dxa" w:w="80"/>
              <w:left w:type="dxa" w:w="110"/>
              <w:bottom w:type="dxa" w:w="80"/>
              <w:right w:type="dxa" w:w="110"/>
            </w:tcMar>
          </w:tcPr>
          <w:p>
            <w:pPr>
              <w:spacing w:after="0"/>
            </w:pPr>
            <w:r>
              <w:rPr>
                <w:sz w:val="17"/>
                <w:szCs w:val="17"/>
              </w:rPr>
              <w:t xml:space="preserve">Vérifier d'abord l'empreinte de l'ARCHIVE reçue, sans Docker : `sha256sum -c filum-&lt;version&gt;.tar.gz.sha256`, ou sous Windows `Get-FileHash filum-&lt;version&gt;.tar.gz -Algorithm SHA256`. Puis la charger : `docker load -i filum-&lt;version&gt;.tar.gz`, et relever l'identifiant de l'image obtenue : `docker image inspect filum:latest --format '{{.ID}}'`.</w:t>
            </w:r>
          </w:p>
        </w:tc>
        <w:tc>
          <w:tcPr>
            <w:tcW w:type="pct" w:w="28%"/>
            <w:tcMar>
              <w:top w:type="dxa" w:w="80"/>
              <w:left w:type="dxa" w:w="110"/>
              <w:bottom w:type="dxa" w:w="80"/>
              <w:right w:type="dxa" w:w="110"/>
            </w:tcMar>
          </w:tcPr>
          <w:p>
            <w:pPr>
              <w:spacing w:after="0"/>
            </w:pPr>
            <w:r>
              <w:rPr>
                <w:sz w:val="17"/>
                <w:szCs w:val="17"/>
              </w:rPr>
              <w:t xml:space="preserve">Les DEUX empreintes correspondent à celles communiquées par l'éditeur : celle de l'archive atteste que la livraison est intacte, celle de l'image atteste que c'est bien l'image construite par l'éditeur. Ne reconstruisez pas l'image pour vérifier — deux constructions du même code donnent des empreintes différentes, et la comparaison échouerait sur une livraison pourtant intacte.</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Conforme / Écart</w:t>
            </w:r>
          </w:p>
        </w:tc>
      </w:tr>
      <w:tr>
        <w:tc>
          <w:tcPr>
            <w:tcW w:type="pct" w:w="7%"/>
            <w:tcMar>
              <w:top w:type="dxa" w:w="80"/>
              <w:left w:type="dxa" w:w="110"/>
              <w:bottom w:type="dxa" w:w="80"/>
              <w:right w:type="dxa" w:w="110"/>
            </w:tcMar>
          </w:tcPr>
          <w:p>
            <w:pPr>
              <w:spacing w:after="0"/>
            </w:pPr>
            <w:r>
              <w:rPr>
                <w:b/>
                <w:bCs/>
                <w:color w:val="4338CA"/>
                <w:sz w:val="17"/>
                <w:szCs w:val="17"/>
              </w:rPr>
              <w:t xml:space="preserve">IQ-03</w:t>
            </w:r>
          </w:p>
        </w:tc>
        <w:tc>
          <w:tcPr>
            <w:tcW w:type="pct" w:w="17%"/>
            <w:tcMar>
              <w:top w:type="dxa" w:w="80"/>
              <w:left w:type="dxa" w:w="110"/>
              <w:bottom w:type="dxa" w:w="80"/>
              <w:right w:type="dxa" w:w="110"/>
            </w:tcMar>
          </w:tcPr>
          <w:p>
            <w:pPr>
              <w:spacing w:after="0"/>
            </w:pPr>
            <w:r>
              <w:rPr>
                <w:b/>
                <w:bCs/>
                <w:sz w:val="17"/>
                <w:szCs w:val="17"/>
              </w:rPr>
              <w:t xml:space="preserve">Configuration avant premier démarrage</w:t>
            </w:r>
          </w:p>
        </w:tc>
        <w:tc>
          <w:tcPr>
            <w:tcW w:type="pct" w:w="32%"/>
            <w:tcMar>
              <w:top w:type="dxa" w:w="80"/>
              <w:left w:type="dxa" w:w="110"/>
              <w:bottom w:type="dxa" w:w="80"/>
              <w:right w:type="dxa" w:w="110"/>
            </w:tcMar>
          </w:tcPr>
          <w:p>
            <w:pPr>
              <w:spacing w:after="0"/>
            </w:pPr>
            <w:r>
              <w:rPr>
                <w:sz w:val="17"/>
                <w:szCs w:val="17"/>
              </w:rPr>
              <w:t xml:space="preserve">Renseigner dans docker-compose.yml : nom d'organisation, identifiants du premier administrateur, nom du programme, durée de session, seuils de verrouillage de compte.</w:t>
            </w:r>
          </w:p>
        </w:tc>
        <w:tc>
          <w:tcPr>
            <w:tcW w:type="pct" w:w="28%"/>
            <w:tcMar>
              <w:top w:type="dxa" w:w="80"/>
              <w:left w:type="dxa" w:w="110"/>
              <w:bottom w:type="dxa" w:w="80"/>
              <w:right w:type="dxa" w:w="110"/>
            </w:tcMar>
          </w:tcPr>
          <w:p>
            <w:pPr>
              <w:spacing w:after="0"/>
            </w:pPr>
            <w:r>
              <w:rPr>
                <w:sz w:val="17"/>
                <w:szCs w:val="17"/>
              </w:rPr>
              <w:t xml:space="preserve">Le mot de passe administrateur initial fait au moins 10 caractères et n'est pas une valeur par défaut.</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Conforme / Écart</w:t>
            </w:r>
          </w:p>
        </w:tc>
      </w:tr>
      <w:tr>
        <w:tc>
          <w:tcPr>
            <w:tcW w:type="pct" w:w="7%"/>
            <w:tcMar>
              <w:top w:type="dxa" w:w="80"/>
              <w:left w:type="dxa" w:w="110"/>
              <w:bottom w:type="dxa" w:w="80"/>
              <w:right w:type="dxa" w:w="110"/>
            </w:tcMar>
          </w:tcPr>
          <w:p>
            <w:pPr>
              <w:spacing w:after="0"/>
            </w:pPr>
            <w:r>
              <w:rPr>
                <w:b/>
                <w:bCs/>
                <w:color w:val="4338CA"/>
                <w:sz w:val="17"/>
                <w:szCs w:val="17"/>
              </w:rPr>
              <w:t xml:space="preserve">IQ-04</w:t>
            </w:r>
          </w:p>
        </w:tc>
        <w:tc>
          <w:tcPr>
            <w:tcW w:type="pct" w:w="17%"/>
            <w:tcMar>
              <w:top w:type="dxa" w:w="80"/>
              <w:left w:type="dxa" w:w="110"/>
              <w:bottom w:type="dxa" w:w="80"/>
              <w:right w:type="dxa" w:w="110"/>
            </w:tcMar>
          </w:tcPr>
          <w:p>
            <w:pPr>
              <w:spacing w:after="0"/>
            </w:pPr>
            <w:r>
              <w:rPr>
                <w:b/>
                <w:bCs/>
                <w:sz w:val="17"/>
                <w:szCs w:val="17"/>
              </w:rPr>
              <w:t xml:space="preserve">Premier démarrage et amorçage</w:t>
            </w:r>
          </w:p>
        </w:tc>
        <w:tc>
          <w:tcPr>
            <w:tcW w:type="pct" w:w="32%"/>
            <w:tcMar>
              <w:top w:type="dxa" w:w="80"/>
              <w:left w:type="dxa" w:w="110"/>
              <w:bottom w:type="dxa" w:w="80"/>
              <w:right w:type="dxa" w:w="110"/>
            </w:tcMar>
          </w:tcPr>
          <w:p>
            <w:pPr>
              <w:spacing w:after="0"/>
            </w:pPr>
            <w:r>
              <w:rPr>
                <w:sz w:val="17"/>
                <w:szCs w:val="17"/>
              </w:rPr>
              <w:t xml:space="preserve">Lancer `docker compose up -d` puis suivre `docker compose logs -f` jusqu'à la fin de l'amorçage.</w:t>
            </w:r>
          </w:p>
        </w:tc>
        <w:tc>
          <w:tcPr>
            <w:tcW w:type="pct" w:w="28%"/>
            <w:tcMar>
              <w:top w:type="dxa" w:w="80"/>
              <w:left w:type="dxa" w:w="110"/>
              <w:bottom w:type="dxa" w:w="80"/>
              <w:right w:type="dxa" w:w="110"/>
            </w:tcMar>
          </w:tcPr>
          <w:p>
            <w:pPr>
              <w:spacing w:after="0"/>
            </w:pPr>
            <w:r>
              <w:rPr>
                <w:sz w:val="17"/>
                <w:szCs w:val="17"/>
              </w:rPr>
              <w:t xml:space="preserve">Les migrations s'appliquent sans erreur, le compte administrateur, le programme et la bibliothèque de normes sont créés, le service passe à l'état sain (healthcheck). Relever le numéro de version annoncé dans le journal : l'étape IQ-07 le confrontera à celui qu'affiche l'interface.</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Conforme / Écart</w:t>
            </w:r>
          </w:p>
        </w:tc>
      </w:tr>
      <w:tr>
        <w:tc>
          <w:tcPr>
            <w:tcW w:type="pct" w:w="7%"/>
            <w:tcMar>
              <w:top w:type="dxa" w:w="80"/>
              <w:left w:type="dxa" w:w="110"/>
              <w:bottom w:type="dxa" w:w="80"/>
              <w:right w:type="dxa" w:w="110"/>
            </w:tcMar>
          </w:tcPr>
          <w:p>
            <w:pPr>
              <w:spacing w:after="0"/>
            </w:pPr>
            <w:r>
              <w:rPr>
                <w:b/>
                <w:bCs/>
                <w:color w:val="4338CA"/>
                <w:sz w:val="17"/>
                <w:szCs w:val="17"/>
              </w:rPr>
              <w:t xml:space="preserve">IQ-05</w:t>
            </w:r>
          </w:p>
        </w:tc>
        <w:tc>
          <w:tcPr>
            <w:tcW w:type="pct" w:w="17%"/>
            <w:tcMar>
              <w:top w:type="dxa" w:w="80"/>
              <w:left w:type="dxa" w:w="110"/>
              <w:bottom w:type="dxa" w:w="80"/>
              <w:right w:type="dxa" w:w="110"/>
            </w:tcMar>
          </w:tcPr>
          <w:p>
            <w:pPr>
              <w:spacing w:after="0"/>
            </w:pPr>
            <w:r>
              <w:rPr>
                <w:b/>
                <w:bCs/>
                <w:sz w:val="17"/>
                <w:szCs w:val="17"/>
              </w:rPr>
              <w:t xml:space="preserve">Accès applicatif et renouvellement imposé</w:t>
            </w:r>
          </w:p>
        </w:tc>
        <w:tc>
          <w:tcPr>
            <w:tcW w:type="pct" w:w="32%"/>
            <w:tcMar>
              <w:top w:type="dxa" w:w="80"/>
              <w:left w:type="dxa" w:w="110"/>
              <w:bottom w:type="dxa" w:w="80"/>
              <w:right w:type="dxa" w:w="110"/>
            </w:tcMar>
          </w:tcPr>
          <w:p>
            <w:pPr>
              <w:spacing w:after="0"/>
            </w:pPr>
            <w:r>
              <w:rPr>
                <w:sz w:val="17"/>
                <w:szCs w:val="17"/>
              </w:rPr>
              <w:t xml:space="preserve">Ouvrir l'application dans un navigateur et se connecter avec le compte administrateur.</w:t>
            </w:r>
          </w:p>
        </w:tc>
        <w:tc>
          <w:tcPr>
            <w:tcW w:type="pct" w:w="28%"/>
            <w:tcMar>
              <w:top w:type="dxa" w:w="80"/>
              <w:left w:type="dxa" w:w="110"/>
              <w:bottom w:type="dxa" w:w="80"/>
              <w:right w:type="dxa" w:w="110"/>
            </w:tcMar>
          </w:tcPr>
          <w:p>
            <w:pPr>
              <w:spacing w:after="0"/>
            </w:pPr>
            <w:r>
              <w:rPr>
                <w:sz w:val="17"/>
                <w:szCs w:val="17"/>
              </w:rPr>
              <w:t xml:space="preserve">La connexion aboutit, puis l'écran de renouvellement du mot de passe s'impose : le mot de passe d'amorçage vient du fichier de composition, ce n'est pas un secret. Aucune autre page n'est atteignable avant le changement. (Vérifie URS-20, URS-30.)</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Conforme / Écart</w:t>
            </w:r>
          </w:p>
        </w:tc>
      </w:tr>
      <w:tr>
        <w:tc>
          <w:tcPr>
            <w:tcW w:type="pct" w:w="7%"/>
            <w:tcMar>
              <w:top w:type="dxa" w:w="80"/>
              <w:left w:type="dxa" w:w="110"/>
              <w:bottom w:type="dxa" w:w="80"/>
              <w:right w:type="dxa" w:w="110"/>
            </w:tcMar>
          </w:tcPr>
          <w:p>
            <w:pPr>
              <w:spacing w:after="0"/>
            </w:pPr>
            <w:r>
              <w:rPr>
                <w:b/>
                <w:bCs/>
                <w:color w:val="4338CA"/>
                <w:sz w:val="17"/>
                <w:szCs w:val="17"/>
              </w:rPr>
              <w:t xml:space="preserve">IQ-06</w:t>
            </w:r>
          </w:p>
        </w:tc>
        <w:tc>
          <w:tcPr>
            <w:tcW w:type="pct" w:w="17%"/>
            <w:tcMar>
              <w:top w:type="dxa" w:w="80"/>
              <w:left w:type="dxa" w:w="110"/>
              <w:bottom w:type="dxa" w:w="80"/>
              <w:right w:type="dxa" w:w="110"/>
            </w:tcMar>
          </w:tcPr>
          <w:p>
            <w:pPr>
              <w:spacing w:after="0"/>
            </w:pPr>
            <w:r>
              <w:rPr>
                <w:b/>
                <w:bCs/>
                <w:sz w:val="17"/>
                <w:szCs w:val="17"/>
              </w:rPr>
              <w:t xml:space="preserve">Refus d'accès sans authentification</w:t>
            </w:r>
          </w:p>
        </w:tc>
        <w:tc>
          <w:tcPr>
            <w:tcW w:type="pct" w:w="32%"/>
            <w:tcMar>
              <w:top w:type="dxa" w:w="80"/>
              <w:left w:type="dxa" w:w="110"/>
              <w:bottom w:type="dxa" w:w="80"/>
              <w:right w:type="dxa" w:w="110"/>
            </w:tcMar>
          </w:tcPr>
          <w:p>
            <w:pPr>
              <w:spacing w:after="0"/>
            </w:pPr>
            <w:r>
              <w:rPr>
                <w:sz w:val="17"/>
                <w:szCs w:val="17"/>
              </w:rPr>
              <w:t xml:space="preserve">Dans une fenêtre de navigation privée, appeler l'adresse racine puis une route de téléchargement de document.</w:t>
            </w:r>
          </w:p>
        </w:tc>
        <w:tc>
          <w:tcPr>
            <w:tcW w:type="pct" w:w="28%"/>
            <w:tcMar>
              <w:top w:type="dxa" w:w="80"/>
              <w:left w:type="dxa" w:w="110"/>
              <w:bottom w:type="dxa" w:w="80"/>
              <w:right w:type="dxa" w:w="110"/>
            </w:tcMar>
          </w:tcPr>
          <w:p>
            <w:pPr>
              <w:spacing w:after="0"/>
            </w:pPr>
            <w:r>
              <w:rPr>
                <w:sz w:val="17"/>
                <w:szCs w:val="17"/>
              </w:rPr>
              <w:t xml:space="preserve">Les deux affichent l'écran de connexion à la place du contenu demandé : aucune donnée du dossier de conception n'apparaît, ni nom d'organisation ni nom de programme. (Vérifie URS-01.)</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Conforme / Écart</w:t>
            </w:r>
          </w:p>
        </w:tc>
      </w:tr>
      <w:tr>
        <w:tc>
          <w:tcPr>
            <w:tcW w:type="pct" w:w="7%"/>
            <w:tcMar>
              <w:top w:type="dxa" w:w="80"/>
              <w:left w:type="dxa" w:w="110"/>
              <w:bottom w:type="dxa" w:w="80"/>
              <w:right w:type="dxa" w:w="110"/>
            </w:tcMar>
          </w:tcPr>
          <w:p>
            <w:pPr>
              <w:spacing w:after="0"/>
            </w:pPr>
            <w:r>
              <w:rPr>
                <w:b/>
                <w:bCs/>
                <w:color w:val="4338CA"/>
                <w:sz w:val="17"/>
                <w:szCs w:val="17"/>
              </w:rPr>
              <w:t xml:space="preserve">IQ-07</w:t>
            </w:r>
          </w:p>
        </w:tc>
        <w:tc>
          <w:tcPr>
            <w:tcW w:type="pct" w:w="17%"/>
            <w:tcMar>
              <w:top w:type="dxa" w:w="80"/>
              <w:left w:type="dxa" w:w="110"/>
              <w:bottom w:type="dxa" w:w="80"/>
              <w:right w:type="dxa" w:w="110"/>
            </w:tcMar>
          </w:tcPr>
          <w:p>
            <w:pPr>
              <w:spacing w:after="0"/>
            </w:pPr>
            <w:r>
              <w:rPr>
                <w:b/>
                <w:bCs/>
                <w:sz w:val="17"/>
                <w:szCs w:val="17"/>
              </w:rPr>
              <w:t xml:space="preserve">Changement du mot de passe d'amorçage, et version livrée</w:t>
            </w:r>
          </w:p>
        </w:tc>
        <w:tc>
          <w:tcPr>
            <w:tcW w:type="pct" w:w="32%"/>
            <w:tcMar>
              <w:top w:type="dxa" w:w="80"/>
              <w:left w:type="dxa" w:w="110"/>
              <w:bottom w:type="dxa" w:w="80"/>
              <w:right w:type="dxa" w:w="110"/>
            </w:tcMar>
          </w:tcPr>
          <w:p>
            <w:pPr>
              <w:spacing w:after="0"/>
            </w:pPr>
            <w:r>
              <w:rPr>
                <w:sz w:val="17"/>
                <w:szCs w:val="17"/>
              </w:rPr>
              <w:t xml:space="preserve">Sur l'écran de renouvellement imposé à l'étape précédente, saisir un nouveau mot de passe. Puis relever le numéro de version affiché en pied de barre latérale.</w:t>
            </w:r>
          </w:p>
        </w:tc>
        <w:tc>
          <w:tcPr>
            <w:tcW w:type="pct" w:w="28%"/>
            <w:tcMar>
              <w:top w:type="dxa" w:w="80"/>
              <w:left w:type="dxa" w:w="110"/>
              <w:bottom w:type="dxa" w:w="80"/>
              <w:right w:type="dxa" w:w="110"/>
            </w:tcMar>
          </w:tcPr>
          <w:p>
            <w:pPr>
              <w:spacing w:after="0"/>
            </w:pPr>
            <w:r>
              <w:rPr>
                <w:sz w:val="17"/>
                <w:szCs w:val="17"/>
              </w:rPr>
              <w:t xml:space="preserve">Le changement aboutit, la reconnexion avec l'ancien mot de passe échoue, et le numéro de version relevé est celui de la livraison — IDENTIQUE à celui annoncé dans le journal à l'étape IQ-04. Sans cette étape, les signatures ne sont pas attribuables au seul titulaire.</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Conforme / Écart</w:t>
            </w:r>
          </w:p>
        </w:tc>
      </w:tr>
      <w:tr>
        <w:tc>
          <w:tcPr>
            <w:tcW w:type="pct" w:w="7%"/>
            <w:tcMar>
              <w:top w:type="dxa" w:w="80"/>
              <w:left w:type="dxa" w:w="110"/>
              <w:bottom w:type="dxa" w:w="80"/>
              <w:right w:type="dxa" w:w="110"/>
            </w:tcMar>
          </w:tcPr>
          <w:p>
            <w:pPr>
              <w:spacing w:after="0"/>
            </w:pPr>
            <w:r>
              <w:rPr>
                <w:b/>
                <w:bCs/>
                <w:color w:val="4338CA"/>
                <w:sz w:val="17"/>
                <w:szCs w:val="17"/>
              </w:rPr>
              <w:t xml:space="preserve">IQ-08</w:t>
            </w:r>
          </w:p>
        </w:tc>
        <w:tc>
          <w:tcPr>
            <w:tcW w:type="pct" w:w="17%"/>
            <w:tcMar>
              <w:top w:type="dxa" w:w="80"/>
              <w:left w:type="dxa" w:w="110"/>
              <w:bottom w:type="dxa" w:w="80"/>
              <w:right w:type="dxa" w:w="110"/>
            </w:tcMar>
          </w:tcPr>
          <w:p>
            <w:pPr>
              <w:spacing w:after="0"/>
            </w:pPr>
            <w:r>
              <w:rPr>
                <w:b/>
                <w:bCs/>
                <w:sz w:val="17"/>
                <w:szCs w:val="17"/>
              </w:rPr>
              <w:t xml:space="preserve">Persistance des volumes</w:t>
            </w:r>
          </w:p>
        </w:tc>
        <w:tc>
          <w:tcPr>
            <w:tcW w:type="pct" w:w="32%"/>
            <w:tcMar>
              <w:top w:type="dxa" w:w="80"/>
              <w:left w:type="dxa" w:w="110"/>
              <w:bottom w:type="dxa" w:w="80"/>
              <w:right w:type="dxa" w:w="110"/>
            </w:tcMar>
          </w:tcPr>
          <w:p>
            <w:pPr>
              <w:spacing w:after="0"/>
            </w:pPr>
            <w:r>
              <w:rPr>
                <w:sz w:val="17"/>
                <w:szCs w:val="17"/>
              </w:rPr>
              <w:t xml:space="preserve">Redémarrer le conteneur (`docker compose restart filum`) puis se reconnecter.</w:t>
            </w:r>
          </w:p>
        </w:tc>
        <w:tc>
          <w:tcPr>
            <w:tcW w:type="pct" w:w="28%"/>
            <w:tcMar>
              <w:top w:type="dxa" w:w="80"/>
              <w:left w:type="dxa" w:w="110"/>
              <w:bottom w:type="dxa" w:w="80"/>
              <w:right w:type="dxa" w:w="110"/>
            </w:tcMar>
          </w:tcPr>
          <w:p>
            <w:pPr>
              <w:spacing w:after="0"/>
            </w:pPr>
            <w:r>
              <w:rPr>
                <w:sz w:val="17"/>
                <w:szCs w:val="17"/>
              </w:rPr>
              <w:t xml:space="preserve">Le compte, le programme et les normes sont toujours présents : les volumes de données et de fichiers sont bien montés.</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Conforme / Écart</w:t>
            </w:r>
          </w:p>
        </w:tc>
      </w:tr>
      <w:tr>
        <w:tc>
          <w:tcPr>
            <w:tcW w:type="pct" w:w="7%"/>
            <w:tcMar>
              <w:top w:type="dxa" w:w="80"/>
              <w:left w:type="dxa" w:w="110"/>
              <w:bottom w:type="dxa" w:w="80"/>
              <w:right w:type="dxa" w:w="110"/>
            </w:tcMar>
          </w:tcPr>
          <w:p>
            <w:pPr>
              <w:spacing w:after="0"/>
            </w:pPr>
            <w:r>
              <w:rPr>
                <w:b/>
                <w:bCs/>
                <w:color w:val="4338CA"/>
                <w:sz w:val="17"/>
                <w:szCs w:val="17"/>
              </w:rPr>
              <w:t xml:space="preserve">IQ-09</w:t>
            </w:r>
          </w:p>
        </w:tc>
        <w:tc>
          <w:tcPr>
            <w:tcW w:type="pct" w:w="17%"/>
            <w:tcMar>
              <w:top w:type="dxa" w:w="80"/>
              <w:left w:type="dxa" w:w="110"/>
              <w:bottom w:type="dxa" w:w="80"/>
              <w:right w:type="dxa" w:w="110"/>
            </w:tcMar>
          </w:tcPr>
          <w:p>
            <w:pPr>
              <w:spacing w:after="0"/>
            </w:pPr>
            <w:r>
              <w:rPr>
                <w:b/>
                <w:bCs/>
                <w:sz w:val="17"/>
                <w:szCs w:val="17"/>
              </w:rPr>
              <w:t xml:space="preserve">Sauvegarde éprouvée</w:t>
            </w:r>
          </w:p>
        </w:tc>
        <w:tc>
          <w:tcPr>
            <w:tcW w:type="pct" w:w="32%"/>
            <w:tcMar>
              <w:top w:type="dxa" w:w="80"/>
              <w:left w:type="dxa" w:w="110"/>
              <w:bottom w:type="dxa" w:w="80"/>
              <w:right w:type="dxa" w:w="110"/>
            </w:tcMar>
          </w:tcPr>
          <w:p>
            <w:pPr>
              <w:spacing w:after="0"/>
            </w:pPr>
            <w:r>
              <w:rPr>
                <w:sz w:val="17"/>
                <w:szCs w:val="17"/>
              </w:rPr>
              <w:t xml:space="preserve">Exécuter la procédure de sauvegarde à froid des DEUX volumes (base et fichiers), puis les contrôles d'archive documentés dans le guide d'installation.</w:t>
            </w:r>
          </w:p>
        </w:tc>
        <w:tc>
          <w:tcPr>
            <w:tcW w:type="pct" w:w="28%"/>
            <w:tcMar>
              <w:top w:type="dxa" w:w="80"/>
              <w:left w:type="dxa" w:w="110"/>
              <w:bottom w:type="dxa" w:w="80"/>
              <w:right w:type="dxa" w:w="110"/>
            </w:tcMar>
          </w:tcPr>
          <w:p>
            <w:pPr>
              <w:spacing w:after="0"/>
            </w:pPr>
            <w:r>
              <w:rPr>
                <w:sz w:val="17"/>
                <w:szCs w:val="17"/>
              </w:rPr>
              <w:t xml:space="preserve">Les deux volumes existent AVANT la sauvegarde (le contrôle préalable le dit), les deux archives sont produites, et l'archive de base contient filum.db. Le nombre d'enregistrements archivés est relevé : sur une installation en service, zéro est un signal.</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Conforme / Écart</w:t>
            </w:r>
          </w:p>
        </w:tc>
      </w:tr>
      <w:tr>
        <w:tc>
          <w:tcPr>
            <w:tcW w:type="pct" w:w="7%"/>
            <w:tcMar>
              <w:top w:type="dxa" w:w="80"/>
              <w:left w:type="dxa" w:w="110"/>
              <w:bottom w:type="dxa" w:w="80"/>
              <w:right w:type="dxa" w:w="110"/>
            </w:tcMar>
          </w:tcPr>
          <w:p>
            <w:pPr>
              <w:spacing w:after="0"/>
            </w:pPr>
            <w:r>
              <w:rPr>
                <w:b/>
                <w:bCs/>
                <w:color w:val="4338CA"/>
                <w:sz w:val="17"/>
                <w:szCs w:val="17"/>
              </w:rPr>
              <w:t xml:space="preserve">IQ-10</w:t>
            </w:r>
          </w:p>
        </w:tc>
        <w:tc>
          <w:tcPr>
            <w:tcW w:type="pct" w:w="17%"/>
            <w:tcMar>
              <w:top w:type="dxa" w:w="80"/>
              <w:left w:type="dxa" w:w="110"/>
              <w:bottom w:type="dxa" w:w="80"/>
              <w:right w:type="dxa" w:w="110"/>
            </w:tcMar>
          </w:tcPr>
          <w:p>
            <w:pPr>
              <w:spacing w:after="0"/>
            </w:pPr>
            <w:r>
              <w:rPr>
                <w:b/>
                <w:bCs/>
                <w:sz w:val="17"/>
                <w:szCs w:val="17"/>
              </w:rPr>
              <w:t xml:space="preserve">Restauration éprouvée</w:t>
            </w:r>
          </w:p>
        </w:tc>
        <w:tc>
          <w:tcPr>
            <w:tcW w:type="pct" w:w="32%"/>
            <w:tcMar>
              <w:top w:type="dxa" w:w="80"/>
              <w:left w:type="dxa" w:w="110"/>
              <w:bottom w:type="dxa" w:w="80"/>
              <w:right w:type="dxa" w:w="110"/>
            </w:tcMar>
          </w:tcPr>
          <w:p>
            <w:pPr>
              <w:spacing w:after="0"/>
            </w:pPr>
            <w:r>
              <w:rPr>
                <w:sz w:val="17"/>
                <w:szCs w:val="17"/>
              </w:rPr>
              <w:t xml:space="preserve">Sur un environnement distinct de la production, restaurer les deux archives et démarrer le service.</w:t>
            </w:r>
          </w:p>
        </w:tc>
        <w:tc>
          <w:tcPr>
            <w:tcW w:type="pct" w:w="28%"/>
            <w:tcMar>
              <w:top w:type="dxa" w:w="80"/>
              <w:left w:type="dxa" w:w="110"/>
              <w:bottom w:type="dxa" w:w="80"/>
              <w:right w:type="dxa" w:w="110"/>
            </w:tcMar>
          </w:tcPr>
          <w:p>
            <w:pPr>
              <w:spacing w:after="0"/>
            </w:pPr>
            <w:r>
              <w:rPr>
                <w:sz w:val="17"/>
                <w:szCs w:val="17"/>
              </w:rPr>
              <w:t xml:space="preserve">L'application démarre et les données restaurées sont celles de la sauvegarde. Une sauvegarde jamais restaurée n'est pas une sauvegarde.</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Conforme / Écart</w:t>
            </w:r>
          </w:p>
        </w:tc>
      </w:tr>
      <w:tr>
        <w:tc>
          <w:tcPr>
            <w:tcW w:type="pct" w:w="7%"/>
            <w:tcMar>
              <w:top w:type="dxa" w:w="80"/>
              <w:left w:type="dxa" w:w="110"/>
              <w:bottom w:type="dxa" w:w="80"/>
              <w:right w:type="dxa" w:w="110"/>
            </w:tcMar>
          </w:tcPr>
          <w:p>
            <w:pPr>
              <w:spacing w:after="0"/>
            </w:pPr>
            <w:r>
              <w:rPr>
                <w:b/>
                <w:bCs/>
                <w:color w:val="4338CA"/>
                <w:sz w:val="17"/>
                <w:szCs w:val="17"/>
              </w:rPr>
              <w:t xml:space="preserve">IQ-11</w:t>
            </w:r>
          </w:p>
        </w:tc>
        <w:tc>
          <w:tcPr>
            <w:tcW w:type="pct" w:w="17%"/>
            <w:tcMar>
              <w:top w:type="dxa" w:w="80"/>
              <w:left w:type="dxa" w:w="110"/>
              <w:bottom w:type="dxa" w:w="80"/>
              <w:right w:type="dxa" w:w="110"/>
            </w:tcMar>
          </w:tcPr>
          <w:p>
            <w:pPr>
              <w:spacing w:after="0"/>
            </w:pPr>
            <w:r>
              <w:rPr>
                <w:b/>
                <w:bCs/>
                <w:sz w:val="17"/>
                <w:szCs w:val="17"/>
              </w:rPr>
              <w:t xml:space="preserve">Accès chiffré</w:t>
            </w:r>
          </w:p>
        </w:tc>
        <w:tc>
          <w:tcPr>
            <w:tcW w:type="pct" w:w="32%"/>
            <w:tcMar>
              <w:top w:type="dxa" w:w="80"/>
              <w:left w:type="dxa" w:w="110"/>
              <w:bottom w:type="dxa" w:w="80"/>
              <w:right w:type="dxa" w:w="110"/>
            </w:tcMar>
          </w:tcPr>
          <w:p>
            <w:pPr>
              <w:spacing w:after="0"/>
            </w:pPr>
            <w:r>
              <w:rPr>
                <w:sz w:val="17"/>
                <w:szCs w:val="17"/>
              </w:rPr>
              <w:t xml:space="preserve">Placer le service derrière le reverse proxy portant le certificat TLS et vérifier l'accès en HTTPS.</w:t>
            </w:r>
          </w:p>
        </w:tc>
        <w:tc>
          <w:tcPr>
            <w:tcW w:type="pct" w:w="28%"/>
            <w:tcMar>
              <w:top w:type="dxa" w:w="80"/>
              <w:left w:type="dxa" w:w="110"/>
              <w:bottom w:type="dxa" w:w="80"/>
              <w:right w:type="dxa" w:w="110"/>
            </w:tcMar>
          </w:tcPr>
          <w:p>
            <w:pPr>
              <w:spacing w:after="0"/>
            </w:pPr>
            <w:r>
              <w:rPr>
                <w:sz w:val="17"/>
                <w:szCs w:val="17"/>
              </w:rPr>
              <w:t xml:space="preserve">L'application répond en HTTPS et le cookie de session porte le drapeau « secure ».</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Conforme / Écart</w:t>
            </w:r>
          </w:p>
        </w:tc>
      </w:tr>
      <w:tr>
        <w:tc>
          <w:tcPr>
            <w:tcW w:type="pct" w:w="7%"/>
            <w:tcMar>
              <w:top w:type="dxa" w:w="80"/>
              <w:left w:type="dxa" w:w="110"/>
              <w:bottom w:type="dxa" w:w="80"/>
              <w:right w:type="dxa" w:w="110"/>
            </w:tcMar>
          </w:tcPr>
          <w:p>
            <w:pPr>
              <w:spacing w:after="0"/>
            </w:pPr>
            <w:r>
              <w:rPr>
                <w:b/>
                <w:bCs/>
                <w:color w:val="4338CA"/>
                <w:sz w:val="17"/>
                <w:szCs w:val="17"/>
              </w:rPr>
              <w:t xml:space="preserve">IQ-12</w:t>
            </w:r>
          </w:p>
        </w:tc>
        <w:tc>
          <w:tcPr>
            <w:tcW w:type="pct" w:w="17%"/>
            <w:tcMar>
              <w:top w:type="dxa" w:w="80"/>
              <w:left w:type="dxa" w:w="110"/>
              <w:bottom w:type="dxa" w:w="80"/>
              <w:right w:type="dxa" w:w="110"/>
            </w:tcMar>
          </w:tcPr>
          <w:p>
            <w:pPr>
              <w:spacing w:after="0"/>
            </w:pPr>
            <w:r>
              <w:rPr>
                <w:b/>
                <w:bCs/>
                <w:sz w:val="17"/>
                <w:szCs w:val="17"/>
              </w:rPr>
              <w:t xml:space="preserve">Restriction d'accès direct aux données</w:t>
            </w:r>
          </w:p>
        </w:tc>
        <w:tc>
          <w:tcPr>
            <w:tcW w:type="pct" w:w="32%"/>
            <w:tcMar>
              <w:top w:type="dxa" w:w="80"/>
              <w:left w:type="dxa" w:w="110"/>
              <w:bottom w:type="dxa" w:w="80"/>
              <w:right w:type="dxa" w:w="110"/>
            </w:tcMar>
          </w:tcPr>
          <w:p>
            <w:pPr>
              <w:spacing w:after="0"/>
            </w:pPr>
            <w:r>
              <w:rPr>
                <w:sz w:val="17"/>
                <w:szCs w:val="17"/>
              </w:rPr>
              <w:t xml:space="preserve">Vérifier qui, dans votre organisation, dispose d'un accès système au volume de base de données et au volume de fichiers.</w:t>
            </w:r>
          </w:p>
        </w:tc>
        <w:tc>
          <w:tcPr>
            <w:tcW w:type="pct" w:w="28%"/>
            <w:tcMar>
              <w:top w:type="dxa" w:w="80"/>
              <w:left w:type="dxa" w:w="110"/>
              <w:bottom w:type="dxa" w:w="80"/>
              <w:right w:type="dxa" w:w="110"/>
            </w:tcMar>
          </w:tcPr>
          <w:p>
            <w:pPr>
              <w:spacing w:after="0"/>
            </w:pPr>
            <w:r>
              <w:rPr>
                <w:sz w:val="17"/>
                <w:szCs w:val="17"/>
              </w:rPr>
              <w:t xml:space="preserve">La liste est arrêtée, nominative, et limitée aux administrateurs système. Les contrôles applicatifs ne s'appliquent pas aux écritures faites hors application.</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Conforme / Écart</w:t>
            </w:r>
          </w:p>
        </w:tc>
      </w:tr>
      <w:tr>
        <w:tc>
          <w:tcPr>
            <w:tcW w:type="pct" w:w="7%"/>
            <w:tcMar>
              <w:top w:type="dxa" w:w="80"/>
              <w:left w:type="dxa" w:w="110"/>
              <w:bottom w:type="dxa" w:w="80"/>
              <w:right w:type="dxa" w:w="110"/>
            </w:tcMar>
          </w:tcPr>
          <w:p>
            <w:pPr>
              <w:spacing w:after="0"/>
            </w:pPr>
            <w:r>
              <w:rPr>
                <w:b/>
                <w:bCs/>
                <w:color w:val="4338CA"/>
                <w:sz w:val="17"/>
                <w:szCs w:val="17"/>
              </w:rPr>
              <w:t xml:space="preserve">IQ-13</w:t>
            </w:r>
          </w:p>
        </w:tc>
        <w:tc>
          <w:tcPr>
            <w:tcW w:type="pct" w:w="17%"/>
            <w:tcMar>
              <w:top w:type="dxa" w:w="80"/>
              <w:left w:type="dxa" w:w="110"/>
              <w:bottom w:type="dxa" w:w="80"/>
              <w:right w:type="dxa" w:w="110"/>
            </w:tcMar>
          </w:tcPr>
          <w:p>
            <w:pPr>
              <w:spacing w:after="0"/>
            </w:pPr>
            <w:r>
              <w:rPr>
                <w:b/>
                <w:bCs/>
                <w:sz w:val="17"/>
                <w:szCs w:val="17"/>
              </w:rPr>
              <w:t xml:space="preserve">Planification de la sauvegarde</w:t>
            </w:r>
          </w:p>
        </w:tc>
        <w:tc>
          <w:tcPr>
            <w:tcW w:type="pct" w:w="32%"/>
            <w:tcMar>
              <w:top w:type="dxa" w:w="80"/>
              <w:left w:type="dxa" w:w="110"/>
              <w:bottom w:type="dxa" w:w="80"/>
              <w:right w:type="dxa" w:w="110"/>
            </w:tcMar>
          </w:tcPr>
          <w:p>
            <w:pPr>
              <w:spacing w:after="0"/>
            </w:pPr>
            <w:r>
              <w:rPr>
                <w:sz w:val="17"/>
                <w:szCs w:val="17"/>
              </w:rPr>
              <w:t xml:space="preserve">Mettre en place la tâche planifiée de sauvegarde selon votre politique de rétention et vérifier une exécution automatique.</w:t>
            </w:r>
          </w:p>
        </w:tc>
        <w:tc>
          <w:tcPr>
            <w:tcW w:type="pct" w:w="28%"/>
            <w:tcMar>
              <w:top w:type="dxa" w:w="80"/>
              <w:left w:type="dxa" w:w="110"/>
              <w:bottom w:type="dxa" w:w="80"/>
              <w:right w:type="dxa" w:w="110"/>
            </w:tcMar>
          </w:tcPr>
          <w:p>
            <w:pPr>
              <w:spacing w:after="0"/>
            </w:pPr>
            <w:r>
              <w:rPr>
                <w:sz w:val="17"/>
                <w:szCs w:val="17"/>
              </w:rPr>
              <w:t xml:space="preserve">Une sauvegarde automatique s'est exécutée et son archive passe les contrôles de l'étape IQ-09.</w:t>
            </w:r>
          </w:p>
        </w:tc>
        <w:tc>
          <w:tcPr>
            <w:tcW w:type="pct" w:w="16%"/>
            <w:tcMar>
              <w:top w:type="dxa" w:w="80"/>
              <w:left w:type="dxa" w:w="110"/>
              <w:bottom w:type="dxa" w:w="80"/>
              <w:right w:type="dxa" w:w="110"/>
            </w:tcMar>
          </w:tcPr>
          <w:p>
            <w:pPr>
              <w:spacing w:after="60"/>
            </w:pPr>
            <w:r>
              <w:rPr>
                <w:sz w:val="17"/>
                <w:szCs w:val="17"/>
              </w:rPr>
              <w:t xml:space="preserve"> </w:t>
            </w:r>
          </w:p>
          <w:p>
            <w:pPr>
              <w:spacing w:after="0"/>
            </w:pPr>
            <w:r>
              <w:rPr>
                <w:color w:val="475569"/>
                <w:sz w:val="14"/>
                <w:szCs w:val="14"/>
              </w:rPr>
              <w:t xml:space="preserve">Conforme / Écart</w:t>
            </w:r>
          </w:p>
        </w:tc>
      </w:tr>
    </w:tbl>
    <w:p>
      <w:pPr>
        <w:pStyle w:val="Heading2"/>
        <w:spacing w:after="140" w:before="320"/>
      </w:pPr>
      <w:r>
        <w:t xml:space="preserve">4. Écarts constatés</w:t>
      </w:r>
    </w:p>
    <w:p>
      <w:pPr>
        <w:spacing w:after="140"/>
      </w:pPr>
      <w:r>
        <w:rPr>
          <w:sz w:val="20"/>
          <w:szCs w:val="20"/>
        </w:rPr>
        <w:t xml:space="preserve">Consigner ici tout écart, sa justification et la mesure retenue. « Aucun écart » s'écrit explicitement.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shd w:fill="E0E7FF"/>
            <w:tcMar>
              <w:top w:type="dxa" w:w="80"/>
              <w:left w:type="dxa" w:w="110"/>
              <w:bottom w:type="dxa" w:w="80"/>
              <w:right w:type="dxa" w:w="110"/>
            </w:tcMar>
          </w:tcPr>
          <w:p>
            <w:pPr>
              <w:spacing w:after="0"/>
            </w:pPr>
            <w:r>
              <w:rPr>
                <w:b/>
                <w:bCs/>
                <w:sz w:val="17"/>
                <w:szCs w:val="17"/>
              </w:rPr>
              <w:t xml:space="preserve">Réf. étape</w:t>
            </w:r>
          </w:p>
        </w:tc>
        <w:tc>
          <w:tcPr>
            <w:tcW w:type="pct" w:w="43%"/>
            <w:shd w:fill="E0E7FF"/>
            <w:tcMar>
              <w:top w:type="dxa" w:w="80"/>
              <w:left w:type="dxa" w:w="110"/>
              <w:bottom w:type="dxa" w:w="80"/>
              <w:right w:type="dxa" w:w="110"/>
            </w:tcMar>
          </w:tcPr>
          <w:p>
            <w:pPr>
              <w:spacing w:after="0"/>
            </w:pPr>
            <w:r>
              <w:rPr>
                <w:b/>
                <w:bCs/>
                <w:sz w:val="17"/>
                <w:szCs w:val="17"/>
              </w:rPr>
              <w:t xml:space="preserve">Écart constaté</w:t>
            </w:r>
          </w:p>
        </w:tc>
        <w:tc>
          <w:tcPr>
            <w:tcW w:type="pct" w:w="43%"/>
            <w:shd w:fill="E0E7FF"/>
            <w:tcMar>
              <w:top w:type="dxa" w:w="80"/>
              <w:left w:type="dxa" w:w="110"/>
              <w:bottom w:type="dxa" w:w="80"/>
              <w:right w:type="dxa" w:w="110"/>
            </w:tcMar>
          </w:tcPr>
          <w:p>
            <w:pPr>
              <w:spacing w:after="0"/>
            </w:pPr>
            <w:r>
              <w:rPr>
                <w:b/>
                <w:bCs/>
                <w:sz w:val="17"/>
                <w:szCs w:val="17"/>
              </w:rPr>
              <w:t xml:space="preserve">Justification / mesure retenue</w:t>
            </w:r>
          </w:p>
        </w:tc>
      </w:tr>
      <w:tr>
        <w:tc>
          <w:tcPr>
            <w:tcW w:type="pct" w:w="14%"/>
            <w:tcMar>
              <w:top w:type="dxa" w:w="80"/>
              <w:left w:type="dxa" w:w="110"/>
              <w:bottom w:type="dxa" w:w="80"/>
              <w:right w:type="dxa" w:w="110"/>
            </w:tcMar>
          </w:tcPr>
          <w:p>
            <w:pPr>
              <w:spacing w:after="0"/>
            </w:pPr>
            <w:r>
              <w:rPr>
                <w:sz w:val="17"/>
                <w:szCs w:val="17"/>
              </w:rPr>
              <w:t xml:space="preserve"> </w:t>
            </w:r>
          </w:p>
        </w:tc>
        <w:tc>
          <w:tcPr>
            <w:tcW w:type="pct" w:w="43%"/>
            <w:tcMar>
              <w:top w:type="dxa" w:w="80"/>
              <w:left w:type="dxa" w:w="110"/>
              <w:bottom w:type="dxa" w:w="80"/>
              <w:right w:type="dxa" w:w="110"/>
            </w:tcMar>
          </w:tcPr>
          <w:p>
            <w:pPr>
              <w:spacing w:after="0"/>
            </w:pPr>
            <w:r>
              <w:rPr>
                <w:sz w:val="17"/>
                <w:szCs w:val="17"/>
              </w:rPr>
              <w:t xml:space="preserve"> </w:t>
            </w:r>
          </w:p>
        </w:tc>
        <w:tc>
          <w:tcPr>
            <w:tcW w:type="pct" w:w="43%"/>
            <w:tcMar>
              <w:top w:type="dxa" w:w="80"/>
              <w:left w:type="dxa" w:w="110"/>
              <w:bottom w:type="dxa" w:w="80"/>
              <w:right w:type="dxa" w:w="110"/>
            </w:tcMar>
          </w:tcPr>
          <w:p>
            <w:pPr>
              <w:spacing w:after="0"/>
            </w:pPr>
            <w:r>
              <w:rPr>
                <w:sz w:val="17"/>
                <w:szCs w:val="17"/>
              </w:rPr>
              <w:t xml:space="preserve"> </w:t>
            </w:r>
          </w:p>
        </w:tc>
      </w:tr>
      <w:tr>
        <w:tc>
          <w:tcPr>
            <w:tcW w:type="pct" w:w="14%"/>
            <w:tcMar>
              <w:top w:type="dxa" w:w="80"/>
              <w:left w:type="dxa" w:w="110"/>
              <w:bottom w:type="dxa" w:w="80"/>
              <w:right w:type="dxa" w:w="110"/>
            </w:tcMar>
          </w:tcPr>
          <w:p>
            <w:pPr>
              <w:spacing w:after="0"/>
            </w:pPr>
            <w:r>
              <w:rPr>
                <w:sz w:val="17"/>
                <w:szCs w:val="17"/>
              </w:rPr>
              <w:t xml:space="preserve"> </w:t>
            </w:r>
          </w:p>
        </w:tc>
        <w:tc>
          <w:tcPr>
            <w:tcW w:type="pct" w:w="43%"/>
            <w:tcMar>
              <w:top w:type="dxa" w:w="80"/>
              <w:left w:type="dxa" w:w="110"/>
              <w:bottom w:type="dxa" w:w="80"/>
              <w:right w:type="dxa" w:w="110"/>
            </w:tcMar>
          </w:tcPr>
          <w:p>
            <w:pPr>
              <w:spacing w:after="0"/>
            </w:pPr>
            <w:r>
              <w:rPr>
                <w:sz w:val="17"/>
                <w:szCs w:val="17"/>
              </w:rPr>
              <w:t xml:space="preserve"> </w:t>
            </w:r>
          </w:p>
        </w:tc>
        <w:tc>
          <w:tcPr>
            <w:tcW w:type="pct" w:w="43%"/>
            <w:tcMar>
              <w:top w:type="dxa" w:w="80"/>
              <w:left w:type="dxa" w:w="110"/>
              <w:bottom w:type="dxa" w:w="80"/>
              <w:right w:type="dxa" w:w="110"/>
            </w:tcMar>
          </w:tcPr>
          <w:p>
            <w:pPr>
              <w:spacing w:after="0"/>
            </w:pPr>
            <w:r>
              <w:rPr>
                <w:sz w:val="17"/>
                <w:szCs w:val="17"/>
              </w:rPr>
              <w:t xml:space="preserve"> </w:t>
            </w:r>
          </w:p>
        </w:tc>
      </w:tr>
      <w:tr>
        <w:tc>
          <w:tcPr>
            <w:tcW w:type="pct" w:w="14%"/>
            <w:tcMar>
              <w:top w:type="dxa" w:w="80"/>
              <w:left w:type="dxa" w:w="110"/>
              <w:bottom w:type="dxa" w:w="80"/>
              <w:right w:type="dxa" w:w="110"/>
            </w:tcMar>
          </w:tcPr>
          <w:p>
            <w:pPr>
              <w:spacing w:after="0"/>
            </w:pPr>
            <w:r>
              <w:rPr>
                <w:sz w:val="17"/>
                <w:szCs w:val="17"/>
              </w:rPr>
              <w:t xml:space="preserve"> </w:t>
            </w:r>
          </w:p>
        </w:tc>
        <w:tc>
          <w:tcPr>
            <w:tcW w:type="pct" w:w="43%"/>
            <w:tcMar>
              <w:top w:type="dxa" w:w="80"/>
              <w:left w:type="dxa" w:w="110"/>
              <w:bottom w:type="dxa" w:w="80"/>
              <w:right w:type="dxa" w:w="110"/>
            </w:tcMar>
          </w:tcPr>
          <w:p>
            <w:pPr>
              <w:spacing w:after="0"/>
            </w:pPr>
            <w:r>
              <w:rPr>
                <w:sz w:val="17"/>
                <w:szCs w:val="17"/>
              </w:rPr>
              <w:t xml:space="preserve"> </w:t>
            </w:r>
          </w:p>
        </w:tc>
        <w:tc>
          <w:tcPr>
            <w:tcW w:type="pct" w:w="43%"/>
            <w:tcMar>
              <w:top w:type="dxa" w:w="80"/>
              <w:left w:type="dxa" w:w="110"/>
              <w:bottom w:type="dxa" w:w="80"/>
              <w:right w:type="dxa" w:w="110"/>
            </w:tcMar>
          </w:tcPr>
          <w:p>
            <w:pPr>
              <w:spacing w:after="0"/>
            </w:pPr>
            <w:r>
              <w:rPr>
                <w:sz w:val="17"/>
                <w:szCs w:val="17"/>
              </w:rPr>
              <w:t xml:space="preserve"> </w:t>
            </w:r>
          </w:p>
        </w:tc>
      </w:tr>
    </w:tbl>
    <w:p>
      <w:pPr>
        <w:pStyle w:val="Heading1"/>
        <w:spacing w:after="140" w:before="320"/>
      </w:pPr>
      <w:r>
        <w:t xml:space="preserve">5. Conclusion et signatures</w:t>
      </w:r>
    </w:p>
    <w:p>
      <w:pPr>
        <w:spacing w:after="160"/>
      </w:pPr>
      <w:r>
        <w:rPr>
          <w:sz w:val="20"/>
          <w:szCs w:val="20"/>
        </w:rPr>
        <w:t xml:space="preserve">L'installation décrite en section 2 est déclarée qualifiée pour la mise en service, sous réserve des écarts consignés en section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4%"/>
            <w:shd w:fill="E0E7FF"/>
            <w:tcMar>
              <w:top w:type="dxa" w:w="80"/>
              <w:left w:type="dxa" w:w="110"/>
              <w:bottom w:type="dxa" w:w="80"/>
              <w:right w:type="dxa" w:w="110"/>
            </w:tcMar>
          </w:tcPr>
          <w:p>
            <w:pPr>
              <w:spacing w:after="0"/>
            </w:pPr>
            <w:r>
              <w:rPr>
                <w:b/>
                <w:bCs/>
                <w:sz w:val="17"/>
                <w:szCs w:val="17"/>
              </w:rPr>
              <w:t xml:space="preserve">Rôle</w:t>
            </w:r>
          </w:p>
        </w:tc>
        <w:tc>
          <w:tcPr>
            <w:tcW w:type="pct" w:w="30%"/>
            <w:shd w:fill="E0E7FF"/>
            <w:tcMar>
              <w:top w:type="dxa" w:w="80"/>
              <w:left w:type="dxa" w:w="110"/>
              <w:bottom w:type="dxa" w:w="80"/>
              <w:right w:type="dxa" w:w="110"/>
            </w:tcMar>
          </w:tcPr>
          <w:p>
            <w:pPr>
              <w:spacing w:after="0"/>
            </w:pPr>
            <w:r>
              <w:rPr>
                <w:b/>
                <w:bCs/>
                <w:sz w:val="17"/>
                <w:szCs w:val="17"/>
              </w:rPr>
              <w:t xml:space="preserve">Nom et fonction</w:t>
            </w:r>
          </w:p>
        </w:tc>
        <w:tc>
          <w:tcPr>
            <w:tcW w:type="pct" w:w="16%"/>
            <w:shd w:fill="E0E7FF"/>
            <w:tcMar>
              <w:top w:type="dxa" w:w="80"/>
              <w:left w:type="dxa" w:w="110"/>
              <w:bottom w:type="dxa" w:w="80"/>
              <w:right w:type="dxa" w:w="110"/>
            </w:tcMar>
          </w:tcPr>
          <w:p>
            <w:pPr>
              <w:spacing w:after="0"/>
            </w:pPr>
            <w:r>
              <w:rPr>
                <w:b/>
                <w:bCs/>
                <w:sz w:val="17"/>
                <w:szCs w:val="17"/>
              </w:rPr>
              <w:t xml:space="preserve">Date</w:t>
            </w:r>
          </w:p>
        </w:tc>
        <w:tc>
          <w:tcPr>
            <w:tcW w:type="pct" w:w="30%"/>
            <w:shd w:fill="E0E7FF"/>
            <w:tcMar>
              <w:top w:type="dxa" w:w="80"/>
              <w:left w:type="dxa" w:w="110"/>
              <w:bottom w:type="dxa" w:w="80"/>
              <w:right w:type="dxa" w:w="110"/>
            </w:tcMar>
          </w:tcPr>
          <w:p>
            <w:pPr>
              <w:spacing w:after="0"/>
            </w:pPr>
            <w:r>
              <w:rPr>
                <w:b/>
                <w:bCs/>
                <w:sz w:val="17"/>
                <w:szCs w:val="17"/>
              </w:rPr>
              <w:t xml:space="preserve">Signature</w:t>
            </w:r>
          </w:p>
        </w:tc>
      </w:tr>
      <w:tr>
        <w:tc>
          <w:tcPr>
            <w:tcW w:type="pct" w:w="24%"/>
            <w:tcMar>
              <w:top w:type="dxa" w:w="80"/>
              <w:left w:type="dxa" w:w="110"/>
              <w:bottom w:type="dxa" w:w="80"/>
              <w:right w:type="dxa" w:w="110"/>
            </w:tcMar>
          </w:tcPr>
          <w:p>
            <w:pPr>
              <w:spacing w:after="0"/>
            </w:pPr>
            <w:r>
              <w:rPr>
                <w:b/>
                <w:bCs/>
                <w:sz w:val="17"/>
                <w:szCs w:val="17"/>
              </w:rPr>
              <w:t xml:space="preserve">Exécutant (administration système)</w:t>
            </w:r>
          </w:p>
        </w:tc>
        <w:tc>
          <w:tcPr>
            <w:tcW w:type="pct" w:w="30%"/>
            <w:tcMar>
              <w:top w:type="dxa" w:w="80"/>
              <w:left w:type="dxa" w:w="110"/>
              <w:bottom w:type="dxa" w:w="80"/>
              <w:right w:type="dxa" w:w="110"/>
            </w:tcMar>
          </w:tcPr>
          <w:p>
            <w:pPr>
              <w:spacing w:after="120"/>
            </w:pPr>
            <w:r>
              <w:rPr>
                <w:sz w:val="20"/>
                <w:szCs w:val="20"/>
              </w:rPr>
              <w:t xml:space="preserve"> </w:t>
            </w:r>
          </w:p>
        </w:tc>
        <w:tc>
          <w:tcPr>
            <w:tcW w:type="pct" w:w="16%"/>
            <w:tcMar>
              <w:top w:type="dxa" w:w="80"/>
              <w:left w:type="dxa" w:w="110"/>
              <w:bottom w:type="dxa" w:w="80"/>
              <w:right w:type="dxa" w:w="110"/>
            </w:tcMar>
          </w:tcPr>
          <w:p>
            <w:pPr>
              <w:spacing w:after="120"/>
            </w:pPr>
            <w:r>
              <w:rPr>
                <w:sz w:val="20"/>
                <w:szCs w:val="20"/>
              </w:rPr>
              <w:t xml:space="preserve"> </w:t>
            </w:r>
          </w:p>
        </w:tc>
        <w:tc>
          <w:tcPr>
            <w:tcW w:type="pct" w:w="30%"/>
            <w:tcMar>
              <w:top w:type="dxa" w:w="80"/>
              <w:left w:type="dxa" w:w="110"/>
              <w:bottom w:type="dxa" w:w="80"/>
              <w:right w:type="dxa" w:w="110"/>
            </w:tcMar>
          </w:tcPr>
          <w:p>
            <w:pPr>
              <w:spacing w:after="120"/>
            </w:pPr>
            <w:r>
              <w:rPr>
                <w:sz w:val="20"/>
                <w:szCs w:val="20"/>
              </w:rPr>
              <w:t xml:space="preserve"> </w:t>
            </w:r>
          </w:p>
        </w:tc>
      </w:tr>
      <w:tr>
        <w:tc>
          <w:tcPr>
            <w:tcW w:type="pct" w:w="24%"/>
            <w:tcMar>
              <w:top w:type="dxa" w:w="80"/>
              <w:left w:type="dxa" w:w="110"/>
              <w:bottom w:type="dxa" w:w="80"/>
              <w:right w:type="dxa" w:w="110"/>
            </w:tcMar>
          </w:tcPr>
          <w:p>
            <w:pPr>
              <w:spacing w:after="0"/>
            </w:pPr>
            <w:r>
              <w:rPr>
                <w:b/>
                <w:bCs/>
                <w:sz w:val="17"/>
                <w:szCs w:val="17"/>
              </w:rPr>
              <w:t xml:space="preserve">Vérificateur</w:t>
            </w:r>
          </w:p>
        </w:tc>
        <w:tc>
          <w:tcPr>
            <w:tcW w:type="pct" w:w="30%"/>
            <w:tcMar>
              <w:top w:type="dxa" w:w="80"/>
              <w:left w:type="dxa" w:w="110"/>
              <w:bottom w:type="dxa" w:w="80"/>
              <w:right w:type="dxa" w:w="110"/>
            </w:tcMar>
          </w:tcPr>
          <w:p>
            <w:pPr>
              <w:spacing w:after="120"/>
            </w:pPr>
            <w:r>
              <w:rPr>
                <w:sz w:val="20"/>
                <w:szCs w:val="20"/>
              </w:rPr>
              <w:t xml:space="preserve"> </w:t>
            </w:r>
          </w:p>
        </w:tc>
        <w:tc>
          <w:tcPr>
            <w:tcW w:type="pct" w:w="16%"/>
            <w:tcMar>
              <w:top w:type="dxa" w:w="80"/>
              <w:left w:type="dxa" w:w="110"/>
              <w:bottom w:type="dxa" w:w="80"/>
              <w:right w:type="dxa" w:w="110"/>
            </w:tcMar>
          </w:tcPr>
          <w:p>
            <w:pPr>
              <w:spacing w:after="120"/>
            </w:pPr>
            <w:r>
              <w:rPr>
                <w:sz w:val="20"/>
                <w:szCs w:val="20"/>
              </w:rPr>
              <w:t xml:space="preserve"> </w:t>
            </w:r>
          </w:p>
        </w:tc>
        <w:tc>
          <w:tcPr>
            <w:tcW w:type="pct" w:w="30%"/>
            <w:tcMar>
              <w:top w:type="dxa" w:w="80"/>
              <w:left w:type="dxa" w:w="110"/>
              <w:bottom w:type="dxa" w:w="80"/>
              <w:right w:type="dxa" w:w="110"/>
            </w:tcMar>
          </w:tcPr>
          <w:p>
            <w:pPr>
              <w:spacing w:after="120"/>
            </w:pPr>
            <w:r>
              <w:rPr>
                <w:sz w:val="20"/>
                <w:szCs w:val="20"/>
              </w:rPr>
              <w:t xml:space="preserve"> </w:t>
            </w:r>
          </w:p>
        </w:tc>
      </w:tr>
      <w:tr>
        <w:tc>
          <w:tcPr>
            <w:tcW w:type="pct" w:w="24%"/>
            <w:tcMar>
              <w:top w:type="dxa" w:w="80"/>
              <w:left w:type="dxa" w:w="110"/>
              <w:bottom w:type="dxa" w:w="80"/>
              <w:right w:type="dxa" w:w="110"/>
            </w:tcMar>
          </w:tcPr>
          <w:p>
            <w:pPr>
              <w:spacing w:after="0"/>
            </w:pPr>
            <w:r>
              <w:rPr>
                <w:b/>
                <w:bCs/>
                <w:sz w:val="17"/>
                <w:szCs w:val="17"/>
              </w:rPr>
              <w:t xml:space="preserve">Approbateur (assurance qualité)</w:t>
            </w:r>
          </w:p>
        </w:tc>
        <w:tc>
          <w:tcPr>
            <w:tcW w:type="pct" w:w="30%"/>
            <w:tcMar>
              <w:top w:type="dxa" w:w="80"/>
              <w:left w:type="dxa" w:w="110"/>
              <w:bottom w:type="dxa" w:w="80"/>
              <w:right w:type="dxa" w:w="110"/>
            </w:tcMar>
          </w:tcPr>
          <w:p>
            <w:pPr>
              <w:spacing w:after="120"/>
            </w:pPr>
            <w:r>
              <w:rPr>
                <w:sz w:val="20"/>
                <w:szCs w:val="20"/>
              </w:rPr>
              <w:t xml:space="preserve"> </w:t>
            </w:r>
          </w:p>
        </w:tc>
        <w:tc>
          <w:tcPr>
            <w:tcW w:type="pct" w:w="16%"/>
            <w:tcMar>
              <w:top w:type="dxa" w:w="80"/>
              <w:left w:type="dxa" w:w="110"/>
              <w:bottom w:type="dxa" w:w="80"/>
              <w:right w:type="dxa" w:w="110"/>
            </w:tcMar>
          </w:tcPr>
          <w:p>
            <w:pPr>
              <w:spacing w:after="120"/>
            </w:pPr>
            <w:r>
              <w:rPr>
                <w:sz w:val="20"/>
                <w:szCs w:val="20"/>
              </w:rPr>
              <w:t xml:space="preserve"> </w:t>
            </w:r>
          </w:p>
        </w:tc>
        <w:tc>
          <w:tcPr>
            <w:tcW w:type="pct" w:w="30%"/>
            <w:tcMar>
              <w:top w:type="dxa" w:w="80"/>
              <w:left w:type="dxa" w:w="110"/>
              <w:bottom w:type="dxa" w:w="80"/>
              <w:right w:type="dxa" w:w="110"/>
            </w:tcMar>
          </w:tcPr>
          <w:p>
            <w:pPr>
              <w:spacing w:after="120"/>
            </w:pPr>
            <w:r>
              <w:rPr>
                <w:sz w:val="20"/>
                <w:szCs w:val="20"/>
              </w:rPr>
              <w:t xml:space="preserve"> </w:t>
            </w:r>
          </w:p>
        </w:tc>
      </w:tr>
    </w:tbl>
    <w:p>
      <w:pPr>
        <w:spacing w:after="160"/>
      </w:pPr>
      <w:r>
        <w:rPr>
          <w:i/>
          <w:iCs/>
          <w:color w:val="475569"/>
          <w:sz w:val="17"/>
          <w:szCs w:val="17"/>
        </w:rPr>
        <w:t xml:space="preserve">Ce protocole est un enregistrement de votre système qualité : conservez-le signé, avec le dossier de validation de la version installée.</w:t>
      </w:r>
    </w:p>
    <w:sectPr>
      <w:headerReference w:type="default" r:id="rId7"/>
      <w:footerReference w:type="default" r:id="rId8"/>
      <w:pgSz w:w="11906" w:h="16838" w:orient="portrait"/>
      <w:pgMar w:top="9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5"/>
        <w:szCs w:val="15"/>
      </w:rPr>
      <w:t xml:space="preserve">Page </w:t>
    </w:r>
    <w:r>
      <w:rPr>
        <w:color w:val="475569"/>
        <w:sz w:val="15"/>
        <w:szCs w:val="15"/>
      </w:rPr>
      <w:fldChar w:fldCharType="begin"/>
      <w:instrText xml:space="preserve">PAGE</w:instrText>
      <w:fldChar w:fldCharType="separate"/>
      <w:fldChar w:fldCharType="end"/>
    </w:r>
    <w:r>
      <w:rPr>
        <w:color w:val="475569"/>
        <w:sz w:val="15"/>
        <w:szCs w:val="15"/>
      </w:rPr>
      <w:t xml:space="preserve"> sur </w:t>
    </w:r>
    <w:r>
      <w:rPr>
        <w:color w:val="475569"/>
        <w:sz w:val="15"/>
        <w:szCs w:val="15"/>
      </w:rPr>
      <w:fldChar w:fldCharType="begin"/>
      <w:instrText xml:space="preserve">NUMPAGES</w:instrText>
      <w:fldChar w:fldCharType="separate"/>
      <w:fldChar w:fldCharType="end"/>
    </w:r>
    <w:r>
      <w:rPr>
        <w:color w:val="475569"/>
        <w:sz w:val="15"/>
        <w:szCs w:val="15"/>
      </w:rPr>
      <w:t xml:space="preserve">   ·   Version 1.2.1 · à exécuter et signer par votre organisation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475569"/>
        <w:sz w:val="15"/>
        <w:szCs w:val="15"/>
      </w:rPr>
      <w:t xml:space="preserve">Filum — Protocole IQ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4338CA"/>
      <w:sz w:val="26"/>
      <w:szCs w:val="26"/>
    </w:rPr>
  </w:style>
  <w:style w:type="paragraph" w:styleId="Heading2">
    <w:name w:val="Heading 2"/>
    <w:basedOn w:val="Normal"/>
    <w:next w:val="Normal"/>
    <w:qFormat/>
    <w:pPr>
      <w:spacing w:after="100" w:before="240"/>
    </w:pPr>
    <w:rPr>
      <w:rFonts w:ascii="Calibri" w:cs="Calibri" w:eastAsia="Calibri" w:hAnsi="Calibri"/>
      <w:b/>
      <w:bCs/>
      <w:color w:val="1E293B"/>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Filum — Protocole de qualification d'installation</dc:title>
  <dc:creator>Un-named</dc:creator>
  <cp:lastModifiedBy>Un-named</cp:lastModifiedBy>
  <cp:revision>1</cp:revision>
  <dcterms:created xsi:type="dcterms:W3CDTF">2026-10-01T11:29:22.602Z</dcterms:created>
  <dcterms:modified xsi:type="dcterms:W3CDTF">2026-10-01T11:29:22.602Z</dcterms:modified>
</cp:coreProperties>
</file>

<file path=docProps/custom.xml><?xml version="1.0" encoding="utf-8"?>
<Properties xmlns="http://schemas.openxmlformats.org/officeDocument/2006/custom-properties" xmlns:vt="http://schemas.openxmlformats.org/officeDocument/2006/docPropsVTypes"/>
</file>