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34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bl>
    <w:p>
      <w:pPr>
        <w:pStyle w:val="Heading2"/>
        <w:spacing w:after="140" w:before="320"/>
      </w:pPr>
      <w:r>
        <w:t xml:space="preserve">4. Analyse de risque logiciel</w:t>
      </w:r>
    </w:p>
    <w:p>
      <w:pPr>
        <w:spacing w:after="140"/>
      </w:pPr>
      <w:r>
        <w:rPr>
          <w:sz w:val="20"/>
          <w:szCs w:val="20"/>
        </w:rPr>
        <w:t xml:space="preserve">Répartition : 22 exigences à risque haut, 10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15:08</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31 cas sur 31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(f6ff71dca7c5… ≠ acb6ec025b08…),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cmshni9d…, empreinte attestée 3767 CD80 ACC9, manifestation « Testeur QA1 (QA1) · Approuvé · 06/08/2026 15:08:43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143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42 fichier(s) couverts par empreintes.sha256, 0 écart ; ancre e5e200019d3547f7…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196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196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9123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181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(69088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34 exigences, 30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15:08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2026-08-06T15:10:19.130Z</dcterms:created>
  <dcterms:modified xsi:type="dcterms:W3CDTF">2026-08-06T15:10:19.130Z</dcterms:modified>
</cp:coreProperties>
</file>

<file path=docProps/custom.xml><?xml version="1.0" encoding="utf-8"?>
<Properties xmlns="http://schemas.openxmlformats.org/officeDocument/2006/custom-properties" xmlns:vt="http://schemas.openxmlformats.org/officeDocument/2006/docPropsVTypes"/>
</file>