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600"/>
        <w:jc w:val="center"/>
      </w:pPr>
      <w:r>
        <w:rPr>
          <w:b/>
          <w:bCs/>
          <w:color w:val="4338CA"/>
          <w:sz w:val="44"/>
          <w:szCs w:val="44"/>
        </w:rPr>
        <w:t xml:space="preserve">Filum</w:t>
      </w:r>
    </w:p>
    <w:p>
      <w:pPr>
        <w:spacing w:after="60"/>
        <w:jc w:val="center"/>
      </w:pPr>
      <w:r>
        <w:rPr>
          <w:b/>
          <w:bCs/>
          <w:sz w:val="32"/>
          <w:szCs w:val="32"/>
        </w:rPr>
        <w:t xml:space="preserve">Ce que fait le logiciel, ce qu'il ne fait pas</w:t>
      </w:r>
    </w:p>
    <w:p>
      <w:pPr>
        <w:spacing w:after="400"/>
        <w:jc w:val="center"/>
      </w:pPr>
      <w:r>
        <w:rPr>
          <w:i/>
          <w:iCs/>
          <w:color w:val="475569"/>
          <w:sz w:val="22"/>
          <w:szCs w:val="22"/>
        </w:rPr>
        <w:t xml:space="preserve">À lire avant la démonstration — y compris pour conclure que ce n'est pas pour vous</w:t>
      </w:r>
    </w:p>
    <w:p>
      <w:pPr>
        <w:spacing w:after="200"/>
      </w:pPr>
      <w:r>
        <w:rPr>
          <w:sz w:val="20"/>
          <w:szCs w:val="20"/>
        </w:rPr>
        <w:t xml:space="preserve">Une démonstration faite à quelqu'un qui cherchait autre chose coûte deux heures aux deux parties et laisse un mauvais souvenir. Ce document existe pour l'éviter. Tout ce qui figure dans « ce qui est en place » se montre à l'écran en moins d'une minute ; tout ce qui figure dans « ce qui n'existe pas » est vrai au 6 août 2026, sans « bientôt » ni « à la feuille de route ».</w:t>
      </w:r>
    </w:p>
    <w:p>
      <w:pPr>
        <w:pStyle w:val="Heading1"/>
        <w:spacing w:after="140" w:before="320"/>
      </w:pPr>
      <w:r>
        <w:t xml:space="preserve">1. Filum en une phrase</w:t>
      </w:r>
    </w:p>
    <w:p>
      <w:pPr>
        <w:spacing w:after="180"/>
      </w:pPr>
      <w:r>
        <w:rPr>
          <w:b/>
          <w:bCs/>
          <w:sz w:val="20"/>
          <w:szCs w:val="20"/>
        </w:rPr>
        <w:t xml:space="preserve">Filum relie besoins, exigences, spécifications, essais, preuves et risques dans un graphe unique, et projette les documents réglementaires depuis ce graphe. Le document n'est pas la donnée : on saisit le lien une fois, et tout ce qui en dépend suit.</w:t>
      </w:r>
    </w:p>
    <w:p>
      <w:pPr>
        <w:pStyle w:val="Heading1"/>
        <w:spacing w:after="140" w:before="320"/>
      </w:pPr>
      <w:r>
        <w:t xml:space="preserve">2. Ce qui est en place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Domaine</w:t>
            </w:r>
          </w:p>
        </w:tc>
        <w:tc>
          <w:tcPr>
            <w:tcW w:type="pct" w:w="78%"/>
            <w:shd w:fill="E0E7FF"/>
            <w:tcMar>
              <w:top w:type="dxa" w:w="80"/>
              <w:left w:type="dxa" w:w="110"/>
              <w:bottom w:type="dxa" w:w="80"/>
              <w:right w:type="dxa" w:w="110"/>
            </w:tcMar>
          </w:tcPr>
          <w:p>
            <w:pPr>
              <w:spacing w:after="0"/>
            </w:pPr>
            <w:r>
              <w:rPr>
                <w:b/>
                <w:bCs/>
                <w:sz w:val="17"/>
                <w:szCs w:val="17"/>
              </w:rPr>
              <w:t xml:space="preserve">Ce que le logiciel fait aujourd'hui</w:t>
            </w:r>
          </w:p>
        </w:tc>
      </w:tr>
      <w:tr>
        <w:tc>
          <w:tcPr>
            <w:tcW w:type="pct" w:w="22%"/>
            <w:shd w:fill="F8FAFC"/>
            <w:tcMar>
              <w:top w:type="dxa" w:w="80"/>
              <w:left w:type="dxa" w:w="110"/>
              <w:bottom w:type="dxa" w:w="80"/>
              <w:right w:type="dxa" w:w="110"/>
            </w:tcMar>
          </w:tcPr>
          <w:p>
            <w:pPr>
              <w:spacing w:after="0"/>
            </w:pPr>
            <w:r>
              <w:rPr>
                <w:b/>
                <w:bCs/>
                <w:sz w:val="17"/>
                <w:szCs w:val="17"/>
              </w:rPr>
              <w:t xml:space="preserve">Traçabilité</w:t>
            </w:r>
          </w:p>
        </w:tc>
        <w:tc>
          <w:tcPr>
            <w:tcW w:type="pct" w:w="78%"/>
            <w:tcMar>
              <w:top w:type="dxa" w:w="80"/>
              <w:left w:type="dxa" w:w="110"/>
              <w:bottom w:type="dxa" w:w="80"/>
              <w:right w:type="dxa" w:w="110"/>
            </w:tcMar>
          </w:tcPr>
          <w:p>
            <w:pPr>
              <w:spacing w:after="0"/>
            </w:pPr>
            <w:r>
              <w:rPr>
                <w:sz w:val="17"/>
                <w:szCs w:val="17"/>
              </w:rPr>
              <w:t xml:space="preserve">Graphe bidirectionnel besoin → exigence → spécification → essai → preuve, avec le risque ISO 14971 en transverse. Hiérarchie d'exigences système → sous-système en relation N–M. Matrice de traçabilité générée et jamais périmée, exportable en CSV. Analyse d'impact amont et aval sur n'importe quel élément. Couverture de vérification recalculée en continu.</w:t>
            </w:r>
          </w:p>
        </w:tc>
      </w:tr>
      <w:tr>
        <w:tc>
          <w:tcPr>
            <w:tcW w:type="pct" w:w="22%"/>
            <w:shd w:fill="F8FAFC"/>
            <w:tcMar>
              <w:top w:type="dxa" w:w="80"/>
              <w:left w:type="dxa" w:w="110"/>
              <w:bottom w:type="dxa" w:w="80"/>
              <w:right w:type="dxa" w:w="110"/>
            </w:tcMar>
          </w:tcPr>
          <w:p>
            <w:pPr>
              <w:spacing w:after="0"/>
            </w:pPr>
            <w:r>
              <w:rPr>
                <w:b/>
                <w:bCs/>
                <w:sz w:val="17"/>
                <w:szCs w:val="17"/>
              </w:rPr>
              <w:t xml:space="preserve">Gestion documentaire</w:t>
            </w:r>
          </w:p>
        </w:tc>
        <w:tc>
          <w:tcPr>
            <w:tcW w:type="pct" w:w="78%"/>
            <w:tcMar>
              <w:top w:type="dxa" w:w="80"/>
              <w:left w:type="dxa" w:w="110"/>
              <w:bottom w:type="dxa" w:w="80"/>
              <w:right w:type="dxa" w:w="110"/>
            </w:tcMar>
          </w:tcPr>
          <w:p>
            <w:pPr>
              <w:spacing w:after="0"/>
            </w:pPr>
            <w:r>
              <w:rPr>
                <w:sz w:val="17"/>
                <w:szCs w:val="17"/>
              </w:rPr>
              <w:t xml:space="preserve">Cycle Brouillon → Revue → Publié appliqué côté serveur. Le contenu est GELÉ à la mise en revue, pas à la publication. Révisions avec justification obligatoire. Commentaires de revue bloquants tant qu'ils ne sont pas résolus. Documents générés en .docx : NDR, TSR, DHF, RMF, fiches NCR, rapports CAPA.</w:t>
            </w:r>
          </w:p>
        </w:tc>
      </w:tr>
      <w:tr>
        <w:tc>
          <w:tcPr>
            <w:tcW w:type="pct" w:w="22%"/>
            <w:shd w:fill="F8FAFC"/>
            <w:tcMar>
              <w:top w:type="dxa" w:w="80"/>
              <w:left w:type="dxa" w:w="110"/>
              <w:bottom w:type="dxa" w:w="80"/>
              <w:right w:type="dxa" w:w="110"/>
            </w:tcMar>
          </w:tcPr>
          <w:p>
            <w:pPr>
              <w:spacing w:after="0"/>
            </w:pPr>
            <w:r>
              <w:rPr>
                <w:b/>
                <w:bCs/>
                <w:sz w:val="17"/>
                <w:szCs w:val="17"/>
              </w:rPr>
              <w:t xml:space="preserve">Signature électronique</w:t>
            </w:r>
          </w:p>
        </w:tc>
        <w:tc>
          <w:tcPr>
            <w:tcW w:type="pct" w:w="78%"/>
            <w:tcMar>
              <w:top w:type="dxa" w:w="80"/>
              <w:left w:type="dxa" w:w="110"/>
              <w:bottom w:type="dxa" w:w="80"/>
              <w:right w:type="dxa" w:w="110"/>
            </w:tcMar>
          </w:tcPr>
          <w:p>
            <w:pPr>
              <w:spacing w:after="0"/>
            </w:pPr>
            <w:r>
              <w:rPr>
                <w:sz w:val="17"/>
                <w:szCs w:val="17"/>
              </w:rPr>
              <w:t xml:space="preserve">Deux composants exigés à CHAQUE signature (session authentifiée + re-saisie du mot de passe). Manifestation lisible portant le nom imprimé figé, la signification, l'horodatage UTC et l'empreinte du contenu attesté. Seul le signataire désigné peut signer. Verrouillage du compte après un nombre d'échecs configurable à l'installation, cinq par défaut.</w:t>
            </w:r>
          </w:p>
        </w:tc>
      </w:tr>
      <w:tr>
        <w:tc>
          <w:tcPr>
            <w:tcW w:type="pct" w:w="22%"/>
            <w:shd w:fill="F8FAFC"/>
            <w:tcMar>
              <w:top w:type="dxa" w:w="80"/>
              <w:left w:type="dxa" w:w="110"/>
              <w:bottom w:type="dxa" w:w="80"/>
              <w:right w:type="dxa" w:w="110"/>
            </w:tcMar>
          </w:tcPr>
          <w:p>
            <w:pPr>
              <w:spacing w:after="0"/>
            </w:pPr>
            <w:r>
              <w:rPr>
                <w:b/>
                <w:bCs/>
                <w:sz w:val="17"/>
                <w:szCs w:val="17"/>
              </w:rPr>
              <w:t xml:space="preserve">Risque ISO 14971</w:t>
            </w:r>
          </w:p>
        </w:tc>
        <w:tc>
          <w:tcPr>
            <w:tcW w:type="pct" w:w="78%"/>
            <w:tcMar>
              <w:top w:type="dxa" w:w="80"/>
              <w:left w:type="dxa" w:w="110"/>
              <w:bottom w:type="dxa" w:w="80"/>
              <w:right w:type="dxa" w:w="110"/>
            </w:tcMar>
          </w:tcPr>
          <w:p>
            <w:pPr>
              <w:spacing w:after="0"/>
            </w:pPr>
            <w:r>
              <w:rPr>
                <w:sz w:val="17"/>
                <w:szCs w:val="17"/>
              </w:rPr>
              <w:t xml:space="preserve">Registre FMEA (danger → situation dangereuse → dommage), matrice 5×5 avec zones Acceptable / ALARP / Inacceptable, risque initial face au résiduel, bibliothèque de dangers. Une maîtrise n'est « vérifiée » que si les spécifications et essais qui la portent sont clos favorablement — c'est le graphe qui le dit, pas une case à cocher.</w:t>
            </w:r>
          </w:p>
        </w:tc>
      </w:tr>
      <w:tr>
        <w:tc>
          <w:tcPr>
            <w:tcW w:type="pct" w:w="22%"/>
            <w:shd w:fill="F8FAFC"/>
            <w:tcMar>
              <w:top w:type="dxa" w:w="80"/>
              <w:left w:type="dxa" w:w="110"/>
              <w:bottom w:type="dxa" w:w="80"/>
              <w:right w:type="dxa" w:w="110"/>
            </w:tcMar>
          </w:tcPr>
          <w:p>
            <w:pPr>
              <w:spacing w:after="0"/>
            </w:pPr>
            <w:r>
              <w:rPr>
                <w:b/>
                <w:bCs/>
                <w:sz w:val="17"/>
                <w:szCs w:val="17"/>
              </w:rPr>
              <w:t xml:space="preserve">Validation de méthodes IVD</w:t>
            </w:r>
          </w:p>
        </w:tc>
        <w:tc>
          <w:tcPr>
            <w:tcW w:type="pct" w:w="78%"/>
            <w:tcMar>
              <w:top w:type="dxa" w:w="80"/>
              <w:left w:type="dxa" w:w="110"/>
              <w:bottom w:type="dxa" w:w="80"/>
              <w:right w:type="dxa" w:w="110"/>
            </w:tcMar>
          </w:tcPr>
          <w:p>
            <w:pPr>
              <w:spacing w:after="0"/>
            </w:pPr>
            <w:r>
              <w:rPr>
                <w:sz w:val="17"/>
                <w:szCs w:val="17"/>
              </w:rPr>
              <w:t xml:space="preserve">Six protocoles CLSI calculés en interne, sans tableur : EP05 précision (ANOVA emboîtée), EP06 linéarité, EP09 comparaison de méthodes (Passing-Bablok, Deming, Bland-Altman), EP17 LoB/LoD/LoQ, EP25 stabilité, EP26 lot-à-lot. Verdict conforme / non conforme sur critère défini a priori. Chaque étude verse sa preuve dans la matrice.</w:t>
            </w:r>
          </w:p>
        </w:tc>
      </w:tr>
      <w:tr>
        <w:tc>
          <w:tcPr>
            <w:tcW w:type="pct" w:w="22%"/>
            <w:shd w:fill="F8FAFC"/>
            <w:tcMar>
              <w:top w:type="dxa" w:w="80"/>
              <w:left w:type="dxa" w:w="110"/>
              <w:bottom w:type="dxa" w:w="80"/>
              <w:right w:type="dxa" w:w="110"/>
            </w:tcMar>
          </w:tcPr>
          <w:p>
            <w:pPr>
              <w:spacing w:after="0"/>
            </w:pPr>
            <w:r>
              <w:rPr>
                <w:b/>
                <w:bCs/>
                <w:sz w:val="17"/>
                <w:szCs w:val="17"/>
              </w:rPr>
              <w:t xml:space="preserve">Non-conformités et CAPA</w:t>
            </w:r>
          </w:p>
        </w:tc>
        <w:tc>
          <w:tcPr>
            <w:tcW w:type="pct" w:w="78%"/>
            <w:tcMar>
              <w:top w:type="dxa" w:w="80"/>
              <w:left w:type="dxa" w:w="110"/>
              <w:bottom w:type="dxa" w:w="80"/>
              <w:right w:type="dxa" w:w="110"/>
            </w:tcMar>
          </w:tcPr>
          <w:p>
            <w:pPr>
              <w:spacing w:after="0"/>
            </w:pPr>
            <w:r>
              <w:rPr>
                <w:sz w:val="17"/>
                <w:szCs w:val="17"/>
              </w:rPr>
              <w:t xml:space="preserve">Cycles de vie verrouillés côté serveur. Pas de plan d'actions sans cause racine ; pas de clôture de CAPA sans efficacité démontrée par un essai repassé favorable. À la clôture, la rétroaction est automatique : spécification NOK reverdie, non-conformités fermées, risque résiduel ré-évalué.</w:t>
            </w:r>
          </w:p>
        </w:tc>
      </w:tr>
      <w:tr>
        <w:tc>
          <w:tcPr>
            <w:tcW w:type="pct" w:w="22%"/>
            <w:shd w:fill="F8FAFC"/>
            <w:tcMar>
              <w:top w:type="dxa" w:w="80"/>
              <w:left w:type="dxa" w:w="110"/>
              <w:bottom w:type="dxa" w:w="80"/>
              <w:right w:type="dxa" w:w="110"/>
            </w:tcMar>
          </w:tcPr>
          <w:p>
            <w:pPr>
              <w:spacing w:after="0"/>
            </w:pPr>
            <w:r>
              <w:rPr>
                <w:b/>
                <w:bCs/>
                <w:sz w:val="17"/>
                <w:szCs w:val="17"/>
              </w:rPr>
              <w:t xml:space="preserve">Conformité du logiciel</w:t>
            </w:r>
          </w:p>
        </w:tc>
        <w:tc>
          <w:tcPr>
            <w:tcW w:type="pct" w:w="78%"/>
            <w:tcMar>
              <w:top w:type="dxa" w:w="80"/>
              <w:left w:type="dxa" w:w="110"/>
              <w:bottom w:type="dxa" w:w="80"/>
              <w:right w:type="dxa" w:w="110"/>
            </w:tcMar>
          </w:tcPr>
          <w:p>
            <w:pPr>
              <w:spacing w:after="0"/>
            </w:pPr>
            <w:r>
              <w:rPr>
                <w:sz w:val="17"/>
                <w:szCs w:val="17"/>
              </w:rPr>
              <w:t xml:space="preserve">Copie d'archivage PDF/A-2b de chaque enregistrement figé dans l'archive d'inspection — police et profil colorimétrique embarqués, elle se lit sans outil bureautique et porte les empreintes du .docx qui fait foi. Piste d'audit en ajout seul, CHAÎNÉE et BILINGUE : chaque entrée porte l'empreinte de la précédente — la vérification nomme le rang d'une rupture — ainsi que la clé de son message, si bien qu'elle se relit en français ou en anglais sans jamais être réécrite. Archive d'inspection vérifiable hors Filum. Ancre d'archive contresignable par l'autorité d'horodatage RFC 3161 de votre choix. Durée de rétention déclarée, conservation légale bloquant les suppressions. Réinitialisation par jeton : personne ne pose le mot de passe d'un autre.</w:t>
            </w:r>
          </w:p>
        </w:tc>
      </w:tr>
      <w:tr>
        <w:tc>
          <w:tcPr>
            <w:tcW w:type="pct" w:w="22%"/>
            <w:shd w:fill="F8FAFC"/>
            <w:tcMar>
              <w:top w:type="dxa" w:w="80"/>
              <w:left w:type="dxa" w:w="110"/>
              <w:bottom w:type="dxa" w:w="80"/>
              <w:right w:type="dxa" w:w="110"/>
            </w:tcMar>
          </w:tcPr>
          <w:p>
            <w:pPr>
              <w:spacing w:after="0"/>
            </w:pPr>
            <w:r>
              <w:rPr>
                <w:b/>
                <w:bCs/>
                <w:sz w:val="17"/>
                <w:szCs w:val="17"/>
              </w:rPr>
              <w:t xml:space="preserve">Reprise de vos données</w:t>
            </w:r>
          </w:p>
        </w:tc>
        <w:tc>
          <w:tcPr>
            <w:tcW w:type="pct" w:w="78%"/>
            <w:tcMar>
              <w:top w:type="dxa" w:w="80"/>
              <w:left w:type="dxa" w:w="110"/>
              <w:bottom w:type="dxa" w:w="80"/>
              <w:right w:type="dxa" w:w="110"/>
            </w:tcMar>
          </w:tcPr>
          <w:p>
            <w:pPr>
              <w:spacing w:after="0"/>
            </w:pPr>
            <w:r>
              <w:rPr>
                <w:sz w:val="17"/>
                <w:szCs w:val="17"/>
              </w:rPr>
              <w:t xml:space="preserve">Import CSV à modèle fixe pour cinq types : besoins, exigences, spécifications, risques, protocoles. Les liens se résolvent par VOS codes, la hiérarchie d'exigences comprise (cycles détectés). Aperçu à blanc obligatoire avant toute écriture : ce qui serait créé, mis à jour, rejeté — et pourquoi, ligne par ligne.</w:t>
            </w:r>
          </w:p>
        </w:tc>
      </w:tr>
      <w:tr>
        <w:tc>
          <w:tcPr>
            <w:tcW w:type="pct" w:w="22%"/>
            <w:shd w:fill="F8FAFC"/>
            <w:tcMar>
              <w:top w:type="dxa" w:w="80"/>
              <w:left w:type="dxa" w:w="110"/>
              <w:bottom w:type="dxa" w:w="80"/>
              <w:right w:type="dxa" w:w="110"/>
            </w:tcMar>
          </w:tcPr>
          <w:p>
            <w:pPr>
              <w:spacing w:after="0"/>
            </w:pPr>
            <w:r>
              <w:rPr>
                <w:b/>
                <w:bCs/>
                <w:sz w:val="17"/>
                <w:szCs w:val="17"/>
              </w:rPr>
              <w:t xml:space="preserve">Exploitation</w:t>
            </w:r>
          </w:p>
        </w:tc>
        <w:tc>
          <w:tcPr>
            <w:tcW w:type="pct" w:w="78%"/>
            <w:tcMar>
              <w:top w:type="dxa" w:w="80"/>
              <w:left w:type="dxa" w:w="110"/>
              <w:bottom w:type="dxa" w:w="80"/>
              <w:right w:type="dxa" w:w="110"/>
            </w:tcMar>
          </w:tcPr>
          <w:p>
            <w:pPr>
              <w:spacing w:after="0"/>
            </w:pPr>
            <w:r>
              <w:rPr>
                <w:sz w:val="17"/>
                <w:szCs w:val="17"/>
              </w:rPr>
              <w:t xml:space="preserve">Image Docker auto-hébergée, base de données en fichier unique, volume de fichiers séparé. Interface français / anglais. Quatre rôles appliqués côté serveur. Assistant de pré-rédaction avec VOTRE clé Anthropic, sous quatre garde-fous. Pack de validation remis : protocole IQ, dossier de validation, cas de qualification rejouables.</w:t>
            </w:r>
          </w:p>
        </w:tc>
      </w:tr>
    </w:tbl>
    <w:p>
      <w:pPr>
        <w:pStyle w:val="Heading1"/>
        <w:spacing w:after="140" w:before="320"/>
      </w:pPr>
      <w:r>
        <w:t xml:space="preserve">3. Ce qui n'existe pas</w:t>
      </w:r>
    </w:p>
    <w:p>
      <w:pPr>
        <w:spacing w:after="160"/>
      </w:pPr>
      <w:r>
        <w:rPr>
          <w:color w:val="475569"/>
          <w:sz w:val="20"/>
          <w:szCs w:val="20"/>
        </w:rPr>
        <w:t xml:space="preserve">Aucune de ces lignes n'est assortie d'une échéance de livraison — nous ne vendons pas ce qui n'existe pas. Si l'une d'elles est un besoin ferme chez vous, dites-le : c'est une raison légitime de ne pas donner suite, et il vaut mieux le savoir maintenant.</w:t>
      </w:r>
    </w:p>
    <w:p>
      <w:pPr>
        <w:spacing w:after="40"/>
      </w:pPr>
      <w:r>
        <w:rPr>
          <w:b/>
          <w:bCs/>
          <w:color w:val="B91C1C"/>
          <w:sz w:val="20"/>
          <w:szCs w:val="20"/>
        </w:rPr>
        <w:t xml:space="preserve">Ce n'est pas un eQMS</w:t>
      </w:r>
    </w:p>
    <w:p>
      <w:pPr>
        <w:spacing w:after="150"/>
      </w:pPr>
      <w:r>
        <w:rPr>
          <w:sz w:val="20"/>
          <w:szCs w:val="20"/>
        </w:rPr>
        <w:t xml:space="preserve">Ni gestion de la formation, ni qualification des fournisseurs, ni traitement des réclamations ou de la vigilance, ni audits internes, ni revue de direction, ni maîtrise des documents du système qualité (procédures, instructions, formulaires). Une non-conformité peut DÉCLARER venir d'une réclamation, d'un audit ou d'un fournisseur : Filum enregistre la référence, il ne gère pas la source. Filum couvre la maîtrise de la conception, pas le système qualité entier.</w:t>
      </w:r>
    </w:p>
    <w:p>
      <w:pPr>
        <w:spacing w:after="40"/>
      </w:pPr>
      <w:r>
        <w:rPr>
          <w:b/>
          <w:bCs/>
          <w:color w:val="B91C1C"/>
          <w:sz w:val="20"/>
          <w:szCs w:val="20"/>
        </w:rPr>
        <w:t xml:space="preserve">Pas de gestion de configuration</w:t>
      </w:r>
    </w:p>
    <w:p>
      <w:pPr>
        <w:spacing w:after="150"/>
      </w:pPr>
      <w:r>
        <w:rPr>
          <w:sz w:val="20"/>
          <w:szCs w:val="20"/>
        </w:rPr>
        <w:t xml:space="preserve">Ni ligne de base, ni article de configuration, ni comparaison entre deux états figés d'un dossier. « ECR » existe comme type de document, pas comme processus outillé de maîtrise des modifications.</w:t>
      </w:r>
    </w:p>
    <w:p>
      <w:pPr>
        <w:spacing w:after="40"/>
      </w:pPr>
      <w:r>
        <w:rPr>
          <w:b/>
          <w:bCs/>
          <w:color w:val="B91C1C"/>
          <w:sz w:val="20"/>
          <w:szCs w:val="20"/>
        </w:rPr>
        <w:t xml:space="preserve">IEC 62304 à l'état d'ébauche</w:t>
      </w:r>
    </w:p>
    <w:p>
      <w:pPr>
        <w:spacing w:after="150"/>
      </w:pPr>
      <w:r>
        <w:rPr>
          <w:sz w:val="20"/>
          <w:szCs w:val="20"/>
        </w:rPr>
        <w:t xml:space="preserve">On déclare un logiciel, sa classe A/B/C et ses versions, et on rattache des essais à une version. C'est tout. Pas de cycle de vie logiciel outillé, pas de suivi d'anomalies, pas de gestion des SOUP, pas de niveaux d'essai unitaire / intégration / système. Si votre dispositif est d'abord un logiciel, Filum n'est pas encore votre outil.</w:t>
      </w:r>
    </w:p>
    <w:p>
      <w:pPr>
        <w:spacing w:after="40"/>
      </w:pPr>
      <w:r>
        <w:rPr>
          <w:b/>
          <w:bCs/>
          <w:color w:val="B91C1C"/>
          <w:sz w:val="20"/>
          <w:szCs w:val="20"/>
        </w:rPr>
        <w:t xml:space="preserve">Aucun canal sortant</w:t>
      </w:r>
    </w:p>
    <w:p>
      <w:pPr>
        <w:spacing w:after="150"/>
      </w:pPr>
      <w:r>
        <w:rPr>
          <w:sz w:val="20"/>
          <w:szCs w:val="20"/>
        </w:rPr>
        <w:t xml:space="preserve">Filum n'envoie pas de courriel. Donc : pas de notification, pas de rappel d'échéance, pas de relance d'approbateur, pas de lien de réinitialisation envoyé par messagerie. C'est un choix, pas un oubli — voir la section « Trois choix assumés ».</w:t>
      </w:r>
    </w:p>
    <w:p>
      <w:pPr>
        <w:spacing w:after="40"/>
      </w:pPr>
      <w:r>
        <w:rPr>
          <w:b/>
          <w:bCs/>
          <w:color w:val="B91C1C"/>
          <w:sz w:val="20"/>
          <w:szCs w:val="20"/>
        </w:rPr>
        <w:t xml:space="preserve">Pas d'intégration</w:t>
      </w:r>
    </w:p>
    <w:p>
      <w:pPr>
        <w:spacing w:after="150"/>
      </w:pPr>
      <w:r>
        <w:rPr>
          <w:sz w:val="20"/>
          <w:szCs w:val="20"/>
        </w:rPr>
        <w:t xml:space="preserve">Pas d'API publique, pas de webhook, pas de connecteur PLM, ERP ou ALM, pas de ReqIF, pas d'import Word ni Excel (.xlsx). La reprise de données se fait par fichiers CSV.</w:t>
      </w:r>
    </w:p>
    <w:p>
      <w:pPr>
        <w:spacing w:after="40"/>
      </w:pPr>
      <w:r>
        <w:rPr>
          <w:b/>
          <w:bCs/>
          <w:color w:val="B91C1C"/>
          <w:sz w:val="20"/>
          <w:szCs w:val="20"/>
        </w:rPr>
        <w:t xml:space="preserve">Une installation, une organisation</w:t>
      </w:r>
    </w:p>
    <w:p>
      <w:pPr>
        <w:spacing w:after="150"/>
      </w:pPr>
      <w:r>
        <w:rPr>
          <w:sz w:val="20"/>
          <w:szCs w:val="20"/>
        </w:rPr>
        <w:t xml:space="preserve">Filum n'est pas multi-locataire : il n'existe aucun cloisonnement par client à l'intérieur d'une même base. L'isolement se fait par instance. C'est plus simple à défendre en audit, et cela veut dire une installation par entité.</w:t>
      </w:r>
    </w:p>
    <w:p>
      <w:pPr>
        <w:spacing w:after="40"/>
      </w:pPr>
      <w:r>
        <w:rPr>
          <w:b/>
          <w:bCs/>
          <w:color w:val="B91C1C"/>
          <w:sz w:val="20"/>
          <w:szCs w:val="20"/>
        </w:rPr>
        <w:t xml:space="preserve">On ne signe que ce que Filum produit</w:t>
      </w:r>
    </w:p>
    <w:p>
      <w:pPr>
        <w:spacing w:after="150"/>
      </w:pPr>
      <w:r>
        <w:rPr>
          <w:sz w:val="20"/>
          <w:szCs w:val="20"/>
        </w:rPr>
        <w:t xml:space="preserve">La signature électronique porte sur les enregistrements générés par le logiciel. Filum ne fait pas signer un PDF déposé, ni un fichier venu d'ailleurs.</w:t>
      </w:r>
    </w:p>
    <w:p>
      <w:pPr>
        <w:spacing w:after="40"/>
      </w:pPr>
      <w:r>
        <w:rPr>
          <w:b/>
          <w:bCs/>
          <w:color w:val="B91C1C"/>
          <w:sz w:val="20"/>
          <w:szCs w:val="20"/>
        </w:rPr>
        <w:t xml:space="preserve">Les entrées d'audit déjà écrites ne se retraduisent pas</w:t>
      </w:r>
    </w:p>
    <w:p>
      <w:pPr>
        <w:spacing w:after="150"/>
      </w:pPr>
      <w:r>
        <w:rPr>
          <w:sz w:val="20"/>
          <w:szCs w:val="20"/>
        </w:rPr>
        <w:t xml:space="preserve">La piste d'audit se lit désormais en français ou en anglais, à l'écran, à l'export et dans l'archive d'inspection : chaque entrée porte la clé de son message et ses arguments, et le texte se fabrique à la lecture. Deux exceptions, assumées. Les entrées inscrites AVANT cette version n'ont que leur texte d'origine, en français : on ne réécrit pas un enregistrement, et le chaînage romprait si on le faisait — l'écran les signale au lecteur. Les deux outils de console serveur (amorçage du premier administrateur, réinitialisation d'urgence) écrivent également en français : ils tournent hors de l'application, où le catalogue de messages n'existe pas.</w:t>
      </w:r>
    </w:p>
    <w:p>
      <w:pPr>
        <w:spacing w:after="40"/>
      </w:pPr>
      <w:r>
        <w:rPr>
          <w:b/>
          <w:bCs/>
          <w:color w:val="B91C1C"/>
          <w:sz w:val="20"/>
          <w:szCs w:val="20"/>
        </w:rPr>
        <w:t xml:space="preserve">Les utilisateurs simultanés ne sont pas qualifiés</w:t>
      </w:r>
    </w:p>
    <w:p>
      <w:pPr>
        <w:spacing w:after="150"/>
      </w:pPr>
      <w:r>
        <w:rPr>
          <w:sz w:val="20"/>
          <w:szCs w:val="20"/>
        </w:rPr>
        <w:t xml:space="preserve">Une campagne de charge mesurée accompagne le produit : elle caractérise le comportement jusqu'à cinquante mille entrées de piste d'audit, et nomme ce qui se dégrade — la vérification de la chaîne d'audit, relue en entier à chaque affichage de l'écran. Ce qu'elle ne mesure pas est dit aussi clairement : les utilisateurs SIMULTANÉS. Le moteur de base livré n'admet qu'un écrivain à la fois ; deux signatures apposées à la même seconde s'attendent. Si vous prévoyez plus d'une poignée d'utilisateurs actifs en même temps, c'est la première chose à éprouver dans votre qualification de performance.</w:t>
      </w:r>
    </w:p>
    <w:p>
      <w:pPr>
        <w:spacing w:after="40"/>
      </w:pPr>
      <w:r>
        <w:rPr>
          <w:b/>
          <w:bCs/>
          <w:color w:val="B91C1C"/>
          <w:sz w:val="20"/>
          <w:szCs w:val="20"/>
        </w:rPr>
        <w:t xml:space="preserve">Ni application mobile, ni mode hors ligne</w:t>
      </w:r>
    </w:p>
    <w:p>
      <w:pPr>
        <w:spacing w:after="150"/>
      </w:pPr>
      <w:r>
        <w:rPr>
          <w:sz w:val="20"/>
          <w:szCs w:val="20"/>
        </w:rPr>
        <w:t xml:space="preserve">Filum est une application web servie par votre serveur. L'interface s'utilise sur un écran d'ordinateur ; il n'existe ni application native, ni fonctionnement déconnecté.</w:t>
      </w:r>
    </w:p>
    <w:p>
      <w:pPr>
        <w:pStyle w:val="Heading1"/>
        <w:spacing w:after="140" w:before="320"/>
      </w:pPr>
      <w:r>
        <w:t xml:space="preserve">4. Ce qui reste à votre charge</w:t>
      </w:r>
    </w:p>
    <w:p>
      <w:pPr>
        <w:spacing w:after="140"/>
      </w:pPr>
      <w:r>
        <w:rPr>
          <w:sz w:val="20"/>
          <w:szCs w:val="20"/>
        </w:rPr>
        <w:t xml:space="preserve">Un logiciel ne rend personne conforme. Ces points relèvent de votre organisation, et aucun éditeur ne peut les reprendre à son compte.</w:t>
      </w:r>
    </w:p>
    <w:p>
      <w:pPr>
        <w:pStyle w:val="ListParagraph"/>
        <w:numPr>
          <w:ilvl w:val="0"/>
          <w:numId w:val="1"/>
        </w:numPr>
        <w:spacing w:after="70"/>
      </w:pPr>
      <w:r>
        <w:rPr>
          <w:sz w:val="20"/>
          <w:szCs w:val="20"/>
        </w:rPr>
        <w:t xml:space="preserve">La certification du 21 CFR §11.100(c), s'il y a lieu : elle engage l'entité juridique dont les collaborateurs signent, par lettre à signature manuscrite adressée à la FDA. Aucun éditeur ne peut la porter à votre place.</w:t>
      </w:r>
    </w:p>
    <w:p>
      <w:pPr>
        <w:pStyle w:val="ListParagraph"/>
        <w:numPr>
          <w:ilvl w:val="0"/>
          <w:numId w:val="1"/>
        </w:numPr>
        <w:spacing w:after="70"/>
      </w:pPr>
      <w:r>
        <w:rPr>
          <w:sz w:val="20"/>
          <w:szCs w:val="20"/>
        </w:rPr>
        <w:t xml:space="preserve">La qualification d'installation, opérationnelle et de performance dans VOTRE environnement, la décision de criticité du système et votre politique de revalidation après mise à jour. Le pack livré alimente vos protocoles ; il ne les remplace pas.</w:t>
      </w:r>
    </w:p>
    <w:p>
      <w:pPr>
        <w:pStyle w:val="ListParagraph"/>
        <w:numPr>
          <w:ilvl w:val="0"/>
          <w:numId w:val="1"/>
        </w:numPr>
        <w:spacing w:after="70"/>
      </w:pPr>
      <w:r>
        <w:rPr>
          <w:sz w:val="20"/>
          <w:szCs w:val="20"/>
        </w:rPr>
        <w:t xml:space="preserve">Les sauvegardes — base ET volume de fichiers ensemble — et la restriction de l'accès direct à la base. Les contrôles du logiciel s'appliquent aux écritures faites PAR l'application ; un accès direct au fichier de base écrit hors de ces contrôles.</w:t>
      </w:r>
    </w:p>
    <w:p>
      <w:pPr>
        <w:pStyle w:val="ListParagraph"/>
        <w:numPr>
          <w:ilvl w:val="0"/>
          <w:numId w:val="1"/>
        </w:numPr>
        <w:spacing w:after="70"/>
      </w:pPr>
      <w:r>
        <w:rPr>
          <w:sz w:val="20"/>
          <w:szCs w:val="20"/>
        </w:rPr>
        <w:t xml:space="preserve">La déclaration de votre durée de conservation et de ce qui la fonde, le choix éventuel d'une autorité d'horodatage, et la production des archives d'inspection aux moments que prescrit votre procédure.</w:t>
      </w:r>
    </w:p>
    <w:p>
      <w:pPr>
        <w:pStyle w:val="ListParagraph"/>
        <w:numPr>
          <w:ilvl w:val="0"/>
          <w:numId w:val="1"/>
        </w:numPr>
        <w:spacing w:after="70"/>
      </w:pPr>
      <w:r>
        <w:rPr>
          <w:sz w:val="20"/>
          <w:szCs w:val="20"/>
        </w:rPr>
        <w:t xml:space="preserve">Le canal de remise des jetons de réinitialisation, et la consigne donnée aux utilisateurs de signaler un jeton refusé comme « déjà utilisé ».</w:t>
      </w:r>
    </w:p>
    <w:p>
      <w:pPr>
        <w:pStyle w:val="Heading1"/>
        <w:spacing w:after="140" w:before="320"/>
      </w:pPr>
      <w:r>
        <w:t xml:space="preserve">5. Trois choix assumés, et leur contrepartie</w:t>
      </w:r>
    </w:p>
    <w:p>
      <w:pPr>
        <w:spacing w:after="140"/>
      </w:pPr>
      <w:r>
        <w:rPr>
          <w:sz w:val="20"/>
          <w:szCs w:val="20"/>
        </w:rPr>
        <w:t xml:space="preserve">Ces trois décisions expliquent une bonne partie de ce que Filum ne fait pas. Elles sont défendables ; elles ne sont pas gratuites.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0E7FF"/>
            <w:tcMar>
              <w:top w:type="dxa" w:w="80"/>
              <w:left w:type="dxa" w:w="110"/>
              <w:bottom w:type="dxa" w:w="80"/>
              <w:right w:type="dxa" w:w="110"/>
            </w:tcMar>
          </w:tcPr>
          <w:p>
            <w:pPr>
              <w:spacing w:after="0"/>
            </w:pPr>
            <w:r>
              <w:rPr>
                <w:b/>
                <w:bCs/>
                <w:sz w:val="17"/>
                <w:szCs w:val="17"/>
              </w:rPr>
              <w:t xml:space="preserve">Le choix</w:t>
            </w:r>
          </w:p>
        </w:tc>
        <w:tc>
          <w:tcPr>
            <w:tcW w:type="pct" w:w="50%"/>
            <w:shd w:fill="E0E7FF"/>
            <w:tcMar>
              <w:top w:type="dxa" w:w="80"/>
              <w:left w:type="dxa" w:w="110"/>
              <w:bottom w:type="dxa" w:w="80"/>
              <w:right w:type="dxa" w:w="110"/>
            </w:tcMar>
          </w:tcPr>
          <w:p>
            <w:pPr>
              <w:spacing w:after="0"/>
            </w:pPr>
            <w:r>
              <w:rPr>
                <w:b/>
                <w:bCs/>
                <w:sz w:val="17"/>
                <w:szCs w:val="17"/>
              </w:rPr>
              <w:t xml:space="preserve">Ce qu'il vous coûte</w:t>
            </w:r>
          </w:p>
        </w:tc>
      </w:tr>
      <w:tr>
        <w:tc>
          <w:tcPr>
            <w:tcW w:type="pct" w:w="50%"/>
            <w:tcMar>
              <w:top w:type="dxa" w:w="80"/>
              <w:left w:type="dxa" w:w="110"/>
              <w:bottom w:type="dxa" w:w="80"/>
              <w:right w:type="dxa" w:w="110"/>
            </w:tcMar>
          </w:tcPr>
          <w:p>
            <w:pPr>
              <w:spacing w:after="0"/>
            </w:pPr>
            <w:r>
              <w:rPr>
                <w:color w:val="047857"/>
                <w:sz w:val="17"/>
                <w:szCs w:val="17"/>
              </w:rPr>
              <w:t xml:space="preserve">Aucun canal sortant. Rien ne quitte votre infrastructure : ni courriel, ni télémétrie, ni remontée d'incident chez l'éditeur.</w:t>
            </w:r>
          </w:p>
        </w:tc>
        <w:tc>
          <w:tcPr>
            <w:tcW w:type="pct" w:w="50%"/>
            <w:tcMar>
              <w:top w:type="dxa" w:w="80"/>
              <w:left w:type="dxa" w:w="110"/>
              <w:bottom w:type="dxa" w:w="80"/>
              <w:right w:type="dxa" w:w="110"/>
            </w:tcMar>
          </w:tcPr>
          <w:p>
            <w:pPr>
              <w:spacing w:after="0"/>
            </w:pPr>
            <w:r>
              <w:rPr>
                <w:color w:val="B45309"/>
                <w:sz w:val="17"/>
                <w:szCs w:val="17"/>
              </w:rPr>
              <w:t xml:space="preserve">En échange, aucune notification ni relance automatique, et un jeton de réinitialisation se remet de la main à la main.</w:t>
            </w:r>
          </w:p>
        </w:tc>
      </w:tr>
      <w:tr>
        <w:tc>
          <w:tcPr>
            <w:tcW w:type="pct" w:w="50%"/>
            <w:tcMar>
              <w:top w:type="dxa" w:w="80"/>
              <w:left w:type="dxa" w:w="110"/>
              <w:bottom w:type="dxa" w:w="80"/>
              <w:right w:type="dxa" w:w="110"/>
            </w:tcMar>
          </w:tcPr>
          <w:p>
            <w:pPr>
              <w:spacing w:after="0"/>
            </w:pPr>
            <w:r>
              <w:rPr>
                <w:color w:val="047857"/>
                <w:sz w:val="17"/>
                <w:szCs w:val="17"/>
              </w:rPr>
              <w:t xml:space="preserve">Le graphe est la source, le document est une projection. La donnée n'est saisie qu'une fois et le dossier ne peut pas contredire les données qui le composent.</w:t>
            </w:r>
          </w:p>
        </w:tc>
        <w:tc>
          <w:tcPr>
            <w:tcW w:type="pct" w:w="50%"/>
            <w:tcMar>
              <w:top w:type="dxa" w:w="80"/>
              <w:left w:type="dxa" w:w="110"/>
              <w:bottom w:type="dxa" w:w="80"/>
              <w:right w:type="dxa" w:w="110"/>
            </w:tcMar>
          </w:tcPr>
          <w:p>
            <w:pPr>
              <w:spacing w:after="0"/>
            </w:pPr>
            <w:r>
              <w:rPr>
                <w:color w:val="B45309"/>
                <w:sz w:val="17"/>
                <w:szCs w:val="17"/>
              </w:rPr>
              <w:t xml:space="preserve">En échange, il faut accepter que « le document approuvé » soit un instantané figé conservé octet pour octet — et non un fichier qu'on rouvre et retouche.</w:t>
            </w:r>
          </w:p>
        </w:tc>
      </w:tr>
      <w:tr>
        <w:tc>
          <w:tcPr>
            <w:tcW w:type="pct" w:w="50%"/>
            <w:tcMar>
              <w:top w:type="dxa" w:w="80"/>
              <w:left w:type="dxa" w:w="110"/>
              <w:bottom w:type="dxa" w:w="80"/>
              <w:right w:type="dxa" w:w="110"/>
            </w:tcMar>
          </w:tcPr>
          <w:p>
            <w:pPr>
              <w:spacing w:after="0"/>
            </w:pPr>
            <w:r>
              <w:rPr>
                <w:color w:val="047857"/>
                <w:sz w:val="17"/>
                <w:szCs w:val="17"/>
              </w:rPr>
              <w:t xml:space="preserve">L'assistant IA fonctionne avec VOTRE clé Anthropic. L'appel part de votre serveur, sous votre propre contrat : aucune donnée de conception ne transite par l'éditeur.</w:t>
            </w:r>
          </w:p>
        </w:tc>
        <w:tc>
          <w:tcPr>
            <w:tcW w:type="pct" w:w="50%"/>
            <w:tcMar>
              <w:top w:type="dxa" w:w="80"/>
              <w:left w:type="dxa" w:w="110"/>
              <w:bottom w:type="dxa" w:w="80"/>
              <w:right w:type="dxa" w:w="110"/>
            </w:tcMar>
          </w:tcPr>
          <w:p>
            <w:pPr>
              <w:spacing w:after="0"/>
            </w:pPr>
            <w:r>
              <w:rPr>
                <w:color w:val="B45309"/>
                <w:sz w:val="17"/>
                <w:szCs w:val="17"/>
              </w:rPr>
              <w:t xml:space="preserve">En échange, il vous faut ce contrat. Sans clé, l'assistant est simplement absent — le reste du logiciel fonctionne à l'identique.</w:t>
            </w:r>
          </w:p>
        </w:tc>
      </w:tr>
    </w:tbl>
    <w:p>
      <w:pPr>
        <w:pStyle w:val="Heading1"/>
        <w:spacing w:after="140" w:before="320"/>
      </w:pPr>
      <w:r>
        <w:t xml:space="preserve">6. Savoir en cinq minutes si c'est pour vous</w:t>
      </w:r>
    </w:p>
    <w:p>
      <w:pPr>
        <w:spacing w:after="90"/>
      </w:pPr>
      <w:r>
        <w:rPr>
          <w:b/>
          <w:bCs/>
          <w:color w:val="047857"/>
          <w:sz w:val="20"/>
          <w:szCs w:val="20"/>
        </w:rPr>
        <w:t xml:space="preserve">Filum vous conviendra probablement si :</w:t>
      </w:r>
    </w:p>
    <w:p>
      <w:pPr>
        <w:pStyle w:val="ListParagraph"/>
        <w:numPr>
          <w:ilvl w:val="0"/>
          <w:numId w:val="1"/>
        </w:numPr>
        <w:spacing w:after="70"/>
      </w:pPr>
      <w:r>
        <w:rPr>
          <w:sz w:val="20"/>
          <w:szCs w:val="20"/>
        </w:rPr>
        <w:t xml:space="preserve">Vous concevez des dispositifs médicaux ou des DIV, et votre traçabilité vit aujourd'hui dans des classeurs Excel et des documents Word ressaisis.</w:t>
      </w:r>
    </w:p>
    <w:p>
      <w:pPr>
        <w:pStyle w:val="ListParagraph"/>
        <w:numPr>
          <w:ilvl w:val="0"/>
          <w:numId w:val="1"/>
        </w:numPr>
        <w:spacing w:after="70"/>
      </w:pPr>
      <w:r>
        <w:rPr>
          <w:sz w:val="20"/>
          <w:szCs w:val="20"/>
        </w:rPr>
        <w:t xml:space="preserve">Vos essais produisent des données chiffrées que quelqu'un retraite à la main pour en tirer un verdict.</w:t>
      </w:r>
    </w:p>
    <w:p>
      <w:pPr>
        <w:pStyle w:val="ListParagraph"/>
        <w:numPr>
          <w:ilvl w:val="0"/>
          <w:numId w:val="1"/>
        </w:numPr>
        <w:spacing w:after="70"/>
      </w:pPr>
      <w:r>
        <w:rPr>
          <w:sz w:val="20"/>
          <w:szCs w:val="20"/>
        </w:rPr>
        <w:t xml:space="preserve">On vous demande de démontrer la maîtrise de la conception — matrice de traçabilité, DHF, gestion des risques — et l'assemblage du dossier vous coûte des semaines.</w:t>
      </w:r>
    </w:p>
    <w:p>
      <w:pPr>
        <w:pStyle w:val="ListParagraph"/>
        <w:numPr>
          <w:ilvl w:val="0"/>
          <w:numId w:val="1"/>
        </w:numPr>
        <w:spacing w:after="70"/>
      </w:pPr>
      <w:r>
        <w:rPr>
          <w:sz w:val="20"/>
          <w:szCs w:val="20"/>
        </w:rPr>
        <w:t xml:space="preserve">Vous êtes une équipe de 5 à 100 personnes, et les plateformes en place vous paraissent surdimensionnées ou hors budget.</w:t>
      </w:r>
    </w:p>
    <w:p>
      <w:pPr>
        <w:spacing w:after="90"/>
      </w:pPr>
      <w:r>
        <w:rPr>
          <w:b/>
          <w:bCs/>
          <w:color w:val="B91C1C"/>
          <w:sz w:val="20"/>
          <w:szCs w:val="20"/>
        </w:rPr>
        <w:t xml:space="preserve">Filum ne vous conviendra probablement pas si :</w:t>
      </w:r>
    </w:p>
    <w:p>
      <w:pPr>
        <w:pStyle w:val="ListParagraph"/>
        <w:numPr>
          <w:ilvl w:val="0"/>
          <w:numId w:val="1"/>
        </w:numPr>
        <w:spacing w:after="70"/>
      </w:pPr>
      <w:r>
        <w:rPr>
          <w:sz w:val="20"/>
          <w:szCs w:val="20"/>
        </w:rPr>
        <w:t xml:space="preserve">Vous cherchez un système qualité complet — formation, fournisseurs, réclamations, audits internes. Filum n'en couvre aucun.</w:t>
      </w:r>
    </w:p>
    <w:p>
      <w:pPr>
        <w:pStyle w:val="ListParagraph"/>
        <w:numPr>
          <w:ilvl w:val="0"/>
          <w:numId w:val="1"/>
        </w:numPr>
        <w:spacing w:after="70"/>
      </w:pPr>
      <w:r>
        <w:rPr>
          <w:sz w:val="20"/>
          <w:szCs w:val="20"/>
        </w:rPr>
        <w:t xml:space="preserve">Votre dispositif est d'abord un logiciel et vous attendez une chaîne IEC 62304 outillée. Elle n'existe pas encore.</w:t>
      </w:r>
    </w:p>
    <w:p>
      <w:pPr>
        <w:pStyle w:val="ListParagraph"/>
        <w:numPr>
          <w:ilvl w:val="0"/>
          <w:numId w:val="1"/>
        </w:numPr>
        <w:spacing w:after="70"/>
      </w:pPr>
      <w:r>
        <w:rPr>
          <w:sz w:val="20"/>
          <w:szCs w:val="20"/>
        </w:rPr>
        <w:t xml:space="preserve">Vous avez besoin que l'outil s'intègre à un PLM, un ERP ou un ALM existant. Il n'y a ni API publique ni connecteur.</w:t>
      </w:r>
    </w:p>
    <w:p>
      <w:pPr>
        <w:pStyle w:val="ListParagraph"/>
        <w:numPr>
          <w:ilvl w:val="0"/>
          <w:numId w:val="1"/>
        </w:numPr>
        <w:spacing w:after="70"/>
      </w:pPr>
      <w:r>
        <w:rPr>
          <w:sz w:val="20"/>
          <w:szCs w:val="20"/>
        </w:rPr>
        <w:t xml:space="preserve">Vous voulez un SaaS multi-locataire administré par l'éditeur. Filum s'installe chez vous, une instance par organisation.</w:t>
      </w:r>
    </w:p>
    <w:p>
      <w:pPr>
        <w:pStyle w:val="ListParagraph"/>
        <w:numPr>
          <w:ilvl w:val="0"/>
          <w:numId w:val="1"/>
        </w:numPr>
        <w:spacing w:after="70"/>
      </w:pPr>
      <w:r>
        <w:rPr>
          <w:sz w:val="20"/>
          <w:szCs w:val="20"/>
        </w:rPr>
        <w:t xml:space="preserve">Votre organisation attend d'un fournisseur qu'il se déclare « conforme 21 CFR Part 11 ». Nous ne l'écrirons pas, parce que c'est faux pour tout éditeur.</w:t>
      </w:r>
    </w:p>
    <w:p>
      <w:pPr>
        <w:pStyle w:val="Heading1"/>
        <w:spacing w:after="140" w:before="320"/>
      </w:pPr>
      <w:r>
        <w:t xml:space="preserve">7. La suite, si vous voulez aller plus loin</w:t>
      </w:r>
    </w:p>
    <w:p>
      <w:pPr>
        <w:spacing w:after="200"/>
      </w:pPr>
      <w:r>
        <w:rPr>
          <w:sz w:val="20"/>
          <w:szCs w:val="20"/>
        </w:rPr>
        <w:t xml:space="preserve">Envoyez le fichier qui porte aujourd'hui votre traçabilité — le classeur Excel, la matrice, ce que vous avez. Nous vous disons ce qui entre dans Filum, ce qui n'y entre pas et ce que la reprise demande. Sans engagement, et sans démonstration préalable : si la réponse est « ça ne rentre pas », vous l'aurez appris sans y avoir passé une réunion.</w:t>
      </w:r>
    </w:p>
    <w:p>
      <w:pPr>
        <w:spacing w:after="0"/>
      </w:pPr>
      <w:r>
        <w:rPr>
          <w:i/>
          <w:iCs/>
          <w:color w:val="475569"/>
          <w:sz w:val="17"/>
          <w:szCs w:val="17"/>
        </w:rPr>
        <w:t xml:space="preserve">Ce document décrit l'état du logiciel en version 1.2.1, au 6 août 2026. Il est régénéré depuis le dépôt du produit, et non maintenu à la main : les écarts entre ce qu'il annonce et ce que le logiciel fait sont donc des défauts, pas des approximations commerciales. Si vous tenez une version plus ancienne que la vôtre, demandez-nous la note à jour.</w:t>
      </w:r>
    </w:p>
    <w:sectPr>
      <w:headerReference w:type="default" r:id="rId7"/>
      <w:footerReference w:type="default" r:id="rId8"/>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Version 1.2.1   ·   6 août 2026   ·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475569"/>
        <w:sz w:val="17"/>
        <w:szCs w:val="17"/>
      </w:rPr>
      <w:t xml:space="preserve">Filum — périmètre du logiciel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pPr>
        <w:spacing w:after="12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Filum — Périmètre du logiciel</dc:title>
  <dc:creator>Filum</dc:creator>
  <dc:description>Ce que fait le logiciel, ce qu'il ne fait pas, et ce qui reste à la charge du client.</dc:description>
  <cp:lastModifiedBy>Un-named</cp:lastModifiedBy>
  <cp:revision>1</cp:revision>
  <dcterms:created xsi:type="dcterms:W3CDTF">2026-08-06T15:10:10.650Z</dcterms:created>
  <dcterms:modified xsi:type="dcterms:W3CDTF">2026-08-06T15:10:10.650Z</dcterms:modified>
</cp:coreProperties>
</file>

<file path=docProps/custom.xml><?xml version="1.0" encoding="utf-8"?>
<Properties xmlns="http://schemas.openxmlformats.org/officeDocument/2006/custom-properties" xmlns:vt="http://schemas.openxmlformats.org/officeDocument/2006/docPropsVTypes"/>
</file>