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7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Qualité d'énoncé</w:t>
            </w:r>
          </w:p>
        </w:tc>
        <w:tc>
          <w:tcPr>
            <w:tcW w:type="pct" w:w="78%"/>
            <w:tcMar>
              <w:top w:type="dxa" w:w="80"/>
              <w:left w:type="dxa" w:w="110"/>
              <w:bottom w:type="dxa" w:w="80"/>
              <w:right w:type="dxa" w:w="110"/>
            </w:tcMar>
          </w:tcPr>
          <w:p>
            <w:pPr>
              <w:spacing w:after="0"/>
            </w:pPr>
            <w:r>
              <w:rPr>
                <w:sz w:val="17"/>
                <w:szCs w:val="17"/>
              </w:rPr>
              <w:t xml:space="preserve">Onze contrôles s'exécutent sous le champ d'énoncé, à chaque frappe : verbe d'obligation absent ou affaibli, plusieurs exigences en une, terme non mesurable, clause échappatoire, liste ouverte, comparaison sans valeur, valeur sans tolérance, tournure passive sans acteur, exigence négative, énoncé trop long. Chaque constat CITE le fragment exact de votre phrase, dit pourquoi il pose problème et propose l'action. Le motif EARS est reconnu — permanent, événement, état, comportement indésirable, option de configuration — et les cinq gabarits sont dépliables avec un exemple. Tout cela tourne SANS clé d'API, sans réseau, à l'identique d'une machine à l'autre : c'est ce qui permet de le qualifier, et un cas de qualification l'éprouve sur onze énoncés fautifs et cinq énoncés corrects. Si votre organisation a configuré une clé Anthropic, une reformulation EARS peut être demandée en plus ; il est interdit au modèle d'inventer une valeur, une unité ou un composant absent de l'original — il laisse un emplacement à remplir. Rien n'est écrit à votre place, et aucun constat n'empêche d'enregistrer.</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Dossier technique</w:t>
            </w:r>
          </w:p>
        </w:tc>
        <w:tc>
          <w:tcPr>
            <w:tcW w:type="pct" w:w="78%"/>
            <w:tcMar>
              <w:top w:type="dxa" w:w="80"/>
              <w:left w:type="dxa" w:w="110"/>
              <w:bottom w:type="dxa" w:w="80"/>
              <w:right w:type="dxa" w:w="110"/>
            </w:tcMar>
          </w:tcPr>
          <w:p>
            <w:pPr>
              <w:spacing w:after="0"/>
            </w:pPr>
            <w:r>
              <w:rPr>
                <w:sz w:val="17"/>
                <w:szCs w:val="17"/>
              </w:rPr>
              <w:t xml:space="preserve">Un dossier technique par programme, en un téléchargement. Il indexe ce que Filum détient sur les 50 éléments du référentiel de diagnostic — le MÊME que celui de la trame remise en amont d'une mission — chacun rattaché à sa clause ISO 13485, à sa référence 21 CFR 820.30 et à sa section d'Annexe II. Chaque ligne dit ce qui est couvert, ce qui est partiel, ce qui manque, et ce qui doit venir de votre système qualité. AUCUN STATUT N'EST SAISI : ils se déduisent du graphe au moment de l'export, et changent quand le graphe change. Le paquet emporte les dossiers de conception compilés par activité, les enregistrements figés des documents publiés, la matrice de traçabilité et les empreintes de tous les fichiers. Il n'est PAS un dossier technique complet, et sa lettre d'accompagnement le dit : étiquetage, notice, spécifications de fabrication, transfert en production, évaluation clinique et surveillance après commercialisation n'existent pas dans un outil de conception — quinze des cinquante éléments sont donc nommés hors périmètre, avec la source dont ils doivent venir. Les taire produirait un index qui a l'air complet et un dossier qui ne l'est pas.</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Copie d'archivage PDF/A-2b de chaque enregistrement figé dans l'archive d'inspection — police et profil colorimétrique embarqués, elle se lit sans outil bureautique et porte les empreintes du .docx qui fait foi. Piste d'audit en ajout seul, CHAÎNÉE et BILINGUE : chaque entrée porte l'empreinte de la précédente — la vérification nomme le rang d'une rupture — ainsi que la clé de son message, si bien qu'elle se relit en français ou en anglais sans jamais être réécrite. La piste est en outre REVUE périodiquement, et la revue est un enregistrement signé : chaque revue couvre une plage de RANGS — jamais de dates — et commence exactement au rang qui suit la précédente, si bien qu'aucune entrée ne peut s'écrire dans l'intervalle entre deux revues ; l'écart entre le dernier rang couvert et la tête de piste est affiché en permanence, et toute lacune de couverture est calculée.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Déposez un classeur .xlsx ou un document .docx TELS QUELS : Filum y trouve les tableaux, vous choisissez lequel reprendre, puis vous dites quelle colonne correspond à quoi. Vos intitulés restent les vôtres — « Req ID », « Crit. », « Descriptif fonctionnel » — la reconnaissance automatique propose ce qu'elle sait, vous assignez le reste, et rien ne se devine en silence. Les cellules vides gardent leur position : une justification ne peut pas glisser dans la colonne du sous-système. Les valeurs sont ramenées au vocabulaire de Filum quelle que soit la langue du fichier — « Haute » devient « High » — et une valeur inconnue est signalée plutôt que stockée. L'import CSV à modèle fixe reste disponible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 La base est en journalisation WAL : la lecture ne bloque plus l'écriture, et la réplication continue devient possible. La sauvegarde à froid reste la référence — elle arrête le service et copie les deux volumes au même instant, donc elle est cohérente par construction. Une option de réplication continue de la base est DOCUMENTÉE, avec la règle qui la rend sûre : elle ne réplique que la base, et les enregistrements figés vivent dans le second volume ; comme celui-ci est en AJOUT SEUL, il suffit de restaurer les fichiers à un instant égal ou postérieur à la base — des fichiers en avance ne sont que des orphelins. Une commande relit chaque pièce référencée par la base et distingue une pièce absente d'une pièce altérée, les deux ne se réparant pas de la même façon.</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ni maîtrise des documents du système qualité (procédures, instructions, formulaires).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w:t>
      </w:r>
    </w:p>
    <w:p>
      <w:pPr>
        <w:spacing w:after="150"/>
      </w:pPr>
      <w:r>
        <w:rPr>
          <w:sz w:val="20"/>
          <w:szCs w:val="20"/>
        </w:rPr>
        <w:t xml:space="preserve">Pas d'API publique, pas de webhook, pas de connecteur PLM, ERP ou ALM, pas de ReqIF, pas d'import Word ni Excel (.xlsx). La reprise de données se fait par fichiers CSV.</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Les entrées d'audit déjà écrites ne se retraduisent pas</w:t>
      </w:r>
    </w:p>
    <w:p>
      <w:pPr>
        <w:spacing w:after="150"/>
      </w:pPr>
      <w:r>
        <w:rPr>
          <w:sz w:val="20"/>
          <w:szCs w:val="20"/>
        </w:rPr>
        <w:t xml:space="preserve">La piste d'audit se lit désormais en français ou en anglais, à l'écran, à l'export et dans l'archive d'inspection : chaque entrée porte la clé de son message et ses arguments, et le texte se fabrique à la lecture. Deux exceptions, assumées. Les entrées inscrites AVANT cette version n'ont que leur texte d'origine, en français : on ne réécrit pas un enregistrement, et le chaînage romprait si on le faisait — l'écran les signale au lecteur. Les deux outils de console serveur (amorçage du premier administrateur, réinitialisation d'urgence) écrivent également en français : ils tournent hors de l'application, où le catalogue de messages n'existe pas.</w:t>
      </w:r>
    </w:p>
    <w:p>
      <w:pPr>
        <w:spacing w:after="40"/>
      </w:pPr>
      <w:r>
        <w:rPr>
          <w:b/>
          <w:bCs/>
          <w:color w:val="B91C1C"/>
          <w:sz w:val="20"/>
          <w:szCs w:val="20"/>
        </w:rPr>
        <w:t xml:space="preserve">Les utilisateurs simultanés ne sont pas qualifiés</w:t>
      </w:r>
    </w:p>
    <w:p>
      <w:pPr>
        <w:spacing w:after="150"/>
      </w:pPr>
      <w:r>
        <w:rPr>
          <w:sz w:val="20"/>
          <w:szCs w:val="20"/>
        </w:rPr>
        <w:t xml:space="preserve">Une campagne de charge mesurée accompagne le produit : elle caractérise le comportement jusqu'à cinquante mille entrées de piste d'audit, et nomme ce qui se dégrade — la vérification de la chaîne d'audit, relue en entier à chaque affichage de l'écran. Ce qu'elle ne mesure pas est dit aussi clairement : les utilisateurs SIMULTANÉS. Le moteur de base livré n'admet qu'un écrivain à la fois ; deux signatures apposées à la même seconde s'attendent. Si vous prévoyez plus d'une poignée d'utilisateurs actifs en même temps, c'est la première chose à éprouver dans votre qualification de performance.</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7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7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2026-08-07T10:36:32.968Z</dcterms:created>
  <dcterms:modified xsi:type="dcterms:W3CDTF">2026-08-07T10:36:32.968Z</dcterms:modified>
</cp:coreProperties>
</file>

<file path=docProps/custom.xml><?xml version="1.0" encoding="utf-8"?>
<Properties xmlns="http://schemas.openxmlformats.org/officeDocument/2006/custom-properties" xmlns:vt="http://schemas.openxmlformats.org/officeDocument/2006/docPropsVTypes"/>
</file>