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1.2.0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manifest readable in a spreadsheet, the CSV exports of the graph, the complete audit trail, and a fingerprint file in the standard sha256sum format. No proprietary format, no dependency on Filum, no licence to maintain.</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2026-08-04T15:11:58.229Z</dcterms:created>
  <dcterms:modified xsi:type="dcterms:W3CDTF">2026-08-04T15:11:58.229Z</dcterms:modified>
</cp:coreProperties>
</file>

<file path=docProps/custom.xml><?xml version="1.0" encoding="utf-8"?>
<Properties xmlns="http://schemas.openxmlformats.org/officeDocument/2006/custom-properties" xmlns:vt="http://schemas.openxmlformats.org/officeDocument/2006/docPropsVTypes"/>
</file>