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1.2.0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 manifeste lisible dans un tableur, les exports CSV du graphe, la piste d'audit complète, et un fichier d'empreintes au format standard de sha256sum. Aucun format propriétaire, aucune dépendance à Filum, aucune licence à maintenir.</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2026-08-04T15:11:57.383Z</dcterms:created>
  <dcterms:modified xsi:type="dcterms:W3CDTF">2026-08-04T15:11:57.384Z</dcterms:modified>
</cp:coreProperties>
</file>

<file path=docProps/custom.xml><?xml version="1.0" encoding="utf-8"?>
<Properties xmlns="http://schemas.openxmlformats.org/officeDocument/2006/custom-properties" xmlns:vt="http://schemas.openxmlformats.org/officeDocument/2006/docPropsVTypes"/>
</file>