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47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exported technical file indexes the programme's content against the diagnostic referential — the SAME one as the frame supplied beforehand — and derives every status from the graph, never from an entry. Items outside Filum's scope are named as such with the source they must come from, and the index cannot contradict the package it indexes. The export is logged with the index state at the moment it leaves.</w:t>
            </w:r>
          </w:p>
        </w:tc>
        <w:tc>
          <w:tcPr>
            <w:tcW w:type="pct" w:w="28%"/>
            <w:tcMar>
              <w:top w:type="dxa" w:w="80"/>
              <w:left w:type="dxa" w:w="110"/>
              <w:bottom w:type="dxa" w:w="80"/>
              <w:right w:type="dxa" w:w="110"/>
            </w:tcMar>
          </w:tcPr>
          <w:p>
            <w:pPr>
              <w:spacing w:after="0"/>
            </w:pPr>
            <w:r>
              <w:rPr>
                <w:sz w:val="17"/>
                <w:szCs w:val="17"/>
              </w:rPr>
              <w:t xml:space="preserve">An index announcing “no design review” while the review sits three lines below in the same package destroys the credibility of the whole file before an inspector — and it is a silent defect, since the index looks complete. An index leaving out the out-of-scope items would be worse still: it would suggest a complete technical file where there is only design, and the gap would be found by the auditor rather than by the manufacturer.</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database uses WAL journalling, and the switch is applied at start-up idempotently. The file volume is APPEND-ONLY: no path in the software deletes or overwrites in it. A check re-reads every piece referenced by the database and distinguishes an ABSENT piece — files behind the database — from a TAMPERED piece — bytes changed outside the software.</w:t>
            </w:r>
          </w:p>
        </w:tc>
        <w:tc>
          <w:tcPr>
            <w:tcW w:type="pct" w:w="28%"/>
            <w:tcMar>
              <w:top w:type="dxa" w:w="80"/>
              <w:left w:type="dxa" w:w="110"/>
              <w:bottom w:type="dxa" w:w="80"/>
              <w:right w:type="dxa" w:w="110"/>
            </w:tcMar>
          </w:tcPr>
          <w:p>
            <w:pPr>
              <w:spacing w:after="0"/>
            </w:pPr>
            <w:r>
              <w:rPr>
                <w:sz w:val="17"/>
                <w:szCs w:val="17"/>
              </w:rPr>
              <w:t xml:space="preserve">Continuous replication replicates only the database. Without the append-only property of the file volume, no restore ordering rule would be safe, and a restore would produce approved records whose bytes are missing — a regulatory file with pieces removed and nothing reporting it. Without WAL, an installation “with replication” would replicate nothing. And confusing an absent piece with a tampered one would have an integrity breach handled as an operations incident.</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An installation declared as a “demonstration” states on EVERY screen, including before any sign-in, that it carries fictional data, that it is erased periodically, and that it is not a qualified installation. The warning cannot be dismissed. The mode is off by default and accepts only an explicit value. It changes NOTHING of what the software records: no module producing data or documents depends on it.</w:t>
            </w:r>
          </w:p>
        </w:tc>
        <w:tc>
          <w:tcPr>
            <w:tcW w:type="pct" w:w="28%"/>
            <w:tcMar>
              <w:top w:type="dxa" w:w="80"/>
              <w:left w:type="dxa" w:w="110"/>
              <w:bottom w:type="dxa" w:w="80"/>
              <w:right w:type="dxa" w:w="110"/>
            </w:tcMar>
          </w:tcPr>
          <w:p>
            <w:pPr>
              <w:spacing w:after="0"/>
            </w:pPr>
            <w:r>
              <w:rPr>
                <w:sz w:val="17"/>
                <w:szCs w:val="17"/>
              </w:rPr>
              <w:t xml:space="preserve">A public instance is identical to a real one — that is the whole point of a demonstration, and it is what makes it deceptive. A visitor uploading a real design file makes it public AND loses it at the next reset; a visitor mistaking the instance for a qualified installation relies on signatures that are worthless. The warning must therefore appear BEFORE sign-in, since that is where the decision to upload is taken. Conversely, a mode switched on by a mis-copied variable would stamp “fictional data” across every screenshot in a customer's validation file.</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by-programme view carries a row for whatever is attached to NO programme, and reconciles every indicator against a total queried separately from the database — never obtained by summing its own rows. Any gap is displayed instead of being hidden. Documents whose programme contradicts their activity's are named. The “requirement covered” rule is the one used by the rest of the product.</w:t>
            </w:r>
          </w:p>
        </w:tc>
        <w:tc>
          <w:tcPr>
            <w:tcW w:type="pct" w:w="28%"/>
            <w:tcMar>
              <w:top w:type="dxa" w:w="80"/>
              <w:left w:type="dxa" w:w="110"/>
              <w:bottom w:type="dxa" w:w="80"/>
              <w:right w:type="dxa" w:w="110"/>
            </w:tcMar>
          </w:tcPr>
          <w:p>
            <w:pPr>
              <w:spacing w:after="0"/>
            </w:pPr>
            <w:r>
              <w:rPr>
                <w:sz w:val="17"/>
                <w:szCs w:val="17"/>
              </w:rPr>
              <w:t xml:space="preserve">Attachment to a programme is optional almost everywhere in the schema. A table listing only programmes would therefore show an organisation in order while part of the file appears nowhere — every row being correct on its own, nobody would see it. That is the mistake already made here with a 100 % coverage rate displayed above thirty-seven requirements that nothing covered: the rate was right, its denominator was not. A table checking itself by summing its own rows could never contradict itself, hence would prove nothing. And a second definition of “covered” would have the screen say something other than the exported technical file, with no way to tell which one lies.</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Importing a workbook or a document unfolds merged cells: the value of a vertical merge is carried onto the rows it spans, and a horizontal merge shifts no column while not being copied into neighbouring fields. Sheets are named whatever produced the file. Dates are made readable. A formula with no calculated value is counted and reported instead of yielding an empty cell. Everything the extraction did, or could not do, is displayed BEFORE the table is chosen.</w:t>
            </w:r>
          </w:p>
        </w:tc>
        <w:tc>
          <w:tcPr>
            <w:tcW w:type="pct" w:w="28%"/>
            <w:tcMar>
              <w:top w:type="dxa" w:w="80"/>
              <w:left w:type="dxa" w:w="110"/>
              <w:bottom w:type="dxa" w:w="80"/>
              <w:right w:type="dxa" w:w="110"/>
            </w:tcMar>
          </w:tcPr>
          <w:p>
            <w:pPr>
              <w:spacing w:after="0"/>
            </w:pPr>
            <w:r>
              <w:rPr>
                <w:sz w:val="17"/>
                <w:szCs w:val="17"/>
              </w:rPr>
              <w:t xml:space="preserve">A traceability matrix almost always places one requirement against several specifications by merging its cell. The value exists only ONCE in the file: without unfolding, the following rows arrive with no requirement code, and the import rejects them — or creates them attached to nothing. A horizontal merge writes one cell for several columns: without padding, the whole end of the row shifts and the status lands in the owner column. Both defects are SILENT: the file looks imported, the row count is right, and the error is only found at design-file review. A formula whose value was never calculated yields an empty cell that nothing distinguishes from a genuinely empty one.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Directory-delegated authentication opens a SESSION and nothing else: the second signing component remains a local secret, re-requested at every affixing, and no module on the signing path depends on SSO. An identity token is accepted only after verification of its RS256 signature, issuer, audience, expiry and nonce. No person is created from the directory. When the installation opens sessions only through the directory, the refusal of local sign-in is enforced server-side.</w:t>
            </w:r>
          </w:p>
        </w:tc>
        <w:tc>
          <w:tcPr>
            <w:tcW w:type="pct" w:w="28%"/>
            <w:tcMar>
              <w:top w:type="dxa" w:w="80"/>
              <w:left w:type="dxa" w:w="110"/>
              <w:bottom w:type="dxa" w:w="80"/>
              <w:right w:type="dxa" w:w="110"/>
            </w:tcMar>
          </w:tcPr>
          <w:p>
            <w:pPr>
              <w:spacing w:after="0"/>
            </w:pPr>
            <w:r>
              <w:rPr>
                <w:sz w:val="17"/>
                <w:szCs w:val="17"/>
              </w:rPr>
              <w:t xml:space="preserve">21 CFR 11.200(a)(1) requires two distinct identification components at signing. Delegating sign-in removes the second: the installation no longer sees any secret of the user. Redirecting to the directory at each signature does not restore it — the provider may re-issue a token without challenging anyone, on the strength of its own session, and the software has no way to tell the two apart: one would be claiming an unverifiable component. On the token side, “alg: none” and RS256/HS256 confusion open a session under anyone's identity; an unverified nonce allows replaying a token obtained elsewhere. And creating a person because a directory named them would transfer to that directory the identity verification of §11.100(b) and the training of §11.10(i), making attributable to someone a signature nobody authorised.</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points of the software whose behaviour depends on the database ENGINE — not on the database — are inventoried, and the inventory is re-read from the source at every version: a point appearing outside the inventory fails the check. The software is qualified on the engine named by the validation file, and claims no other.</w:t>
            </w:r>
          </w:p>
        </w:tc>
        <w:tc>
          <w:tcPr>
            <w:tcW w:type="pct" w:w="28%"/>
            <w:tcMar>
              <w:top w:type="dxa" w:w="80"/>
              <w:left w:type="dxa" w:w="110"/>
              <w:bottom w:type="dxa" w:w="80"/>
              <w:right w:type="dxa" w:w="110"/>
            </w:tcMar>
          </w:tcPr>
          <w:p>
            <w:pPr>
              <w:spacing w:after="0"/>
            </w:pPr>
            <w:r>
              <w:rPr>
                <w:sz w:val="17"/>
                <w:szCs w:val="17"/>
              </w:rPr>
              <w:t xml:space="preserve">An engine provides for free properties the code never asks for, which become invisible precisely because they work. The audit-trail chaining reads the head then writes: continuity of the links rests on the engine admitting only one writer at a time, which is written nowhere in the code. “contains” searches ignore case for the same reason — under another engine they would stop finding, without error, which is worse than a failure. These dependencies would be discovered at a customer site, in production, on the functions that stand as evidence. An inventory written in a document goes stale at the first addition; re-read from the source, it cannot.</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Application access to the design file is READ-ONLY: no API route writes to the design graph, and the property is established by re-reading the source. Every route goes through a single guard that requires a token, logs the access under that token's name, and refuses without distinguishing an absent token from a revoked one. The token is kept only as a fingerprint. Every response carries the fingerprint of its data and the audit-chain anchor at extraction time, following a computation rule written into the response itself.</w:t>
            </w:r>
          </w:p>
        </w:tc>
        <w:tc>
          <w:tcPr>
            <w:tcW w:type="pct" w:w="28%"/>
            <w:tcMar>
              <w:top w:type="dxa" w:w="80"/>
              <w:left w:type="dxa" w:w="110"/>
              <w:bottom w:type="dxa" w:w="80"/>
              <w:right w:type="dxa" w:w="110"/>
            </w:tcMar>
          </w:tcPr>
          <w:p>
            <w:pPr>
              <w:spacing w:after="0"/>
            </w:pPr>
            <w:r>
              <w:rPr>
                <w:sz w:val="17"/>
                <w:szCs w:val="17"/>
              </w:rPr>
              <w:t xml:space="preserve">A write door opened to a machine would bypass everything that gives the file its value: the lifecycle, content freezing, the signature. Data entered by a script would be attributable to nobody, and the claim “the graph is the only way in” would become false with nothing to signal it. The property must therefore be re-read in the source at every version, not promised. On the way out, an export that leaves the system stops being verifiable: without a fingerprint the recipient cannot establish they hold the document produced, and without an anchor they cannot say which state of the file it matches — faced with a discrepancy six months later, the operator carries the doubt. And a token kept in clear would be reusable by anyone reaching the database, with nobody ever changing it: unlike a password, a script does not complain.</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PDF/A conformance of archival copies is established by an INDEPENDENT VALIDATOR — veraPDF, the reference implementation — and not by Filum's own checks alone. The verification runs against a document built to defeat it, and the harness carries a deliberately non-conformant witness: if the validator lets the witness through, no other result of that run is retained. Any character absent from the embedded font is replaced — never rendered through the .notdef glyph, which the format forbids — and every copy DECLARES the substitutions it carries.</w:t>
            </w:r>
          </w:p>
        </w:tc>
        <w:tc>
          <w:tcPr>
            <w:tcW w:type="pct" w:w="28%"/>
            <w:tcMar>
              <w:top w:type="dxa" w:w="80"/>
              <w:left w:type="dxa" w:w="110"/>
              <w:bottom w:type="dxa" w:w="80"/>
              <w:right w:type="dxa" w:w="110"/>
            </w:tcMar>
          </w:tcPr>
          <w:p>
            <w:pPr>
              <w:spacing w:after="0"/>
            </w:pPr>
            <w:r>
              <w:rPr>
                <w:sz w:val="17"/>
                <w:szCs w:val="17"/>
              </w:rPr>
              <w:t xml:space="preserve">A verifier written by the author of the code shares exactly its blind spots: what one did not think to produce, one does not think to look for either. The demonstration is not theoretical — Filum's structural check declared conformant, for two months, records that referenced the .notdef glyph, and veraPDF found it on its first run over 4 files out of 15. The specific risk is not the format: it is that an archive handed to an inspection carries metadata asserting a conformance nobody outside has measured. The witness answers the symmetric risk — a harness that can no longer say “non-conformant” would return a permanent green, that is, a decorative guard.</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Software risk analysis</w:t>
      </w:r>
    </w:p>
    <w:p>
      <w:pPr>
        <w:spacing w:after="140"/>
      </w:pPr>
      <w:r>
        <w:rPr>
          <w:sz w:val="20"/>
          <w:szCs w:val="20"/>
        </w:rPr>
        <w:t xml:space="preserve">Breakdown: 29 requirements at high risk, 16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9 August 2026 at 12:37</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44 of 44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(47b2ac18f25f… ≠ 29600d156a97…),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10488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cmslsfmm…, attested fingerprint 3767 CD80 ACC9, manifestation “Testeur QA1 (QA1) · Approuvé · 09/08/2026 12:37:43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10489 bytes re-read identically; one byte flipped at position 5244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(10495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172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ec36784a988a514e…;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2036-08-09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35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237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57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237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(10462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9512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193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(124032 bytes, 1 page(s)); 30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09/08/2026 12:37:55 UTC · enregistrement 4E11 C71E 8EC8”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Technical file: index derived from the graph, out-of-scope named, and no contradiction with the package</w:t>
            </w:r>
          </w:p>
          <w:p>
            <w:pPr>
              <w:spacing w:after="0"/>
            </w:pPr>
            <w:r>
              <w:rPr>
                <w:color w:val="475569"/>
                <w:sz w:val="15"/>
                <w:szCs w:val="15"/>
              </w:rPr>
              <w:t xml:space="preserve">Verify that the index covers all 50 items of the diagnostic referential, that each status derives from the graph and changes when the graph changes, that out-of-scope items are named with their source, that the index never declares absent a document type present in the package, and that the digests cover every file.</w:t>
            </w:r>
          </w:p>
        </w:tc>
        <w:tc>
          <w:tcPr>
            <w:tcW w:type="pct" w:w="45%"/>
            <w:tcMar>
              <w:top w:type="dxa" w:w="80"/>
              <w:left w:type="dxa" w:w="110"/>
              <w:bottom w:type="dxa" w:w="80"/>
              <w:right w:type="dxa" w:w="110"/>
            </w:tcMar>
          </w:tcPr>
          <w:p>
            <w:pPr>
              <w:spacing w:after="0"/>
            </w:pPr>
            <w:r>
              <w:rPr>
                <w:sz w:val="17"/>
                <w:szCs w:val="17"/>
              </w:rPr>
              <w:t xml:space="preserve">index of 50 items, identical to the diagnostic referential supplied beforehand; on an empty programme, 0 item covered and 15 outside scope, each naming the source the piece must come from; creating a single requirement moves INP-1 from “absent” to “covered” — the status follows the graph and is not typed in; on the demonstration file, no item is declared absent while a document of its type is released in the same package, the digests cover the other 4 files, and the cover note states that the package is not a complete technical file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Continuous backup: WAL journalling, append-only volume, and verifiable database ↔ files consistency</w:t>
            </w:r>
          </w:p>
          <w:p>
            <w:pPr>
              <w:spacing w:after="0"/>
            </w:pPr>
            <w:r>
              <w:rPr>
                <w:color w:val="475569"/>
                <w:sz w:val="15"/>
                <w:szCs w:val="15"/>
              </w:rPr>
              <w:t xml:space="preserve">Verify that the database uses WAL journalling — the precondition of any continuous replication —, that the switch is idempotent, that no path in the software deletes or overwrites in the file volume, and that the restore check distinguishes an absent piece from a tampered one, naming the one that is missing.</w:t>
            </w:r>
          </w:p>
        </w:tc>
        <w:tc>
          <w:tcPr>
            <w:tcW w:type="pct" w:w="45%"/>
            <w:tcMar>
              <w:top w:type="dxa" w:w="80"/>
              <w:left w:type="dxa" w:w="110"/>
              <w:bottom w:type="dxa" w:w="80"/>
              <w:right w:type="dxa" w:w="110"/>
            </w:tcMar>
          </w:tcPr>
          <w:p>
            <w:pPr>
              <w:spacing w:after="0"/>
            </w:pPr>
            <w:r>
              <w:rPr>
                <w:sz w:val="17"/>
                <w:szCs w:val="17"/>
              </w:rPr>
              <w:t xml:space="preserve">database in WAL journalling, idempotent switch; 179 source file(s) re-read, no path deletes or overwrites in the file volume outside the import purge — it is that append-only property which makes the rule “restore files to an instant at or after the database” safe; over 19 referenced piece(s), removing an approved record is reported ABSENT and named (OQ-014-restauration), modifying it outside the software is reported TAMPERED, the two defects are never conflated, and the report returns to consistent once the piece is restored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Demonstration mode: off by default, announced before sign-in, non-dismissible, and without effect on records</w:t>
            </w:r>
          </w:p>
          <w:p>
            <w:pPr>
              <w:spacing w:after="0"/>
            </w:pPr>
            <w:r>
              <w:rPr>
                <w:color w:val="475569"/>
                <w:sz w:val="15"/>
                <w:szCs w:val="15"/>
              </w:rPr>
              <w:t xml:space="preserve">Verify that demonstration mode only switches on for an explicit value, that the announced period falls back safely instead of displaying an absurd value, that the RENDERED banner says the three things it must say in both languages and offers no way to dismiss it, that it sits BEFORE the authentication gate — hence visible on the sign-in screen — and that no module producing data or documents depends on this mode.</w:t>
            </w:r>
          </w:p>
        </w:tc>
        <w:tc>
          <w:tcPr>
            <w:tcW w:type="pct" w:w="45%"/>
            <w:tcMar>
              <w:top w:type="dxa" w:w="80"/>
              <w:left w:type="dxa" w:w="110"/>
              <w:bottom w:type="dxa" w:w="80"/>
              <w:right w:type="dxa" w:w="110"/>
            </w:tcMar>
          </w:tcPr>
          <w:p>
            <w:pPr>
              <w:spacing w:after="0"/>
            </w:pPr>
            <w:r>
              <w:rPr>
                <w:sz w:val="17"/>
                <w:szCs w:val="17"/>
              </w:rPr>
              <w:t xml:space="preserve">mode off without FILUM_DEMO and for 10 neighbouring values (“true”, “oui”, “0”, “1” with a space…), on for “1” alone; announced period bounded over 12 values, falling back to 6 h for an absurd or absent one; banner RENDERED in both languages carrying the three required statements — fictional data, periodic erasure, not a qualified installation —, with no dismiss button and with the “alert” role; rendered BEFORE the authentication gate, hence present on the sign-in screen; 177 source file(s) re-read, no module outside the shell depends on the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By-programme view: unattached content is carried, reconciliation is independent, and a gap is visible</w:t>
            </w:r>
          </w:p>
          <w:p>
            <w:pPr>
              <w:spacing w:after="0"/>
            </w:pPr>
            <w:r>
              <w:rPr>
                <w:color w:val="475569"/>
                <w:sz w:val="15"/>
                <w:szCs w:val="15"/>
              </w:rPr>
              <w:t xml:space="preserve">Verify that content attached to no programme appears on a row of its own instead of vanishing, that every indicator lands on a total queried separately from the database, that the “requirement covered” rule expressed as a query says the same as the one applied to loaded objects, that a document whose programme contradicts its activity's is named, and — by rendering the component — that a failing reconciliation is displayed whereas a sound one displays nothing.</w:t>
            </w:r>
          </w:p>
        </w:tc>
        <w:tc>
          <w:tcPr>
            <w:tcW w:type="pct" w:w="45%"/>
            <w:tcMar>
              <w:top w:type="dxa" w:w="80"/>
              <w:left w:type="dxa" w:w="110"/>
              <w:bottom w:type="dxa" w:w="80"/>
              <w:right w:type="dxa" w:w="110"/>
            </w:tcMar>
          </w:tcPr>
          <w:p>
            <w:pPr>
              <w:spacing w:after="0"/>
            </w:pPr>
            <w:r>
              <w:rPr>
                <w:sz w:val="17"/>
                <w:szCs w:val="17"/>
              </w:rPr>
              <w:t xml:space="preserve">4 programme(s) and a non-empty “outside any programme” row (16 document(s), 15 requirement(s)); the 8 indicators land on totals queried SEPARATELY from the database; one requirement out of two uncovered gives 50 % and not 100 %, a parent covered by its child counts as covered, a programme with no requirement says nothing; both expressions of “covered” agree on 2 requirement(s); the document filed under a programme's activity without carrying that programme is named (OQD-ORPHELIN → Programme A); when rendered, a failing reconciliation is shown with its numbers and a sound one shows nothing</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Merged cells unfolded, columns not shifted, sheets named whatever produced the file</w:t>
            </w:r>
          </w:p>
          <w:p>
            <w:pPr>
              <w:spacing w:after="0"/>
            </w:pPr>
            <w:r>
              <w:rPr>
                <w:color w:val="475569"/>
                <w:sz w:val="15"/>
                <w:szCs w:val="15"/>
              </w:rPr>
              <w:t xml:space="preserve">Verify, on files produced by two THIRD-PARTY libraries, that a vertical merge has its value carried onto every row it spans, that a horizontal merge shifts no column while not being copied into neighbouring fields, that sheets carry their name even when the producer writes its attributes in a different order from Excel, that dates are made readable, and that a formula with no calculated value is counted and reported.</w:t>
            </w:r>
          </w:p>
        </w:tc>
        <w:tc>
          <w:tcPr>
            <w:tcW w:type="pct" w:w="45%"/>
            <w:tcMar>
              <w:top w:type="dxa" w:w="80"/>
              <w:left w:type="dxa" w:w="110"/>
              <w:bottom w:type="dxa" w:w="80"/>
              <w:right w:type="dxa" w:w="110"/>
            </w:tcMar>
          </w:tcPr>
          <w:p>
            <w:pPr>
              <w:spacing w:after="0"/>
            </w:pPr>
            <w:r>
              <w:rPr>
                <w:sz w:val="17"/>
                <w:szCs w:val="17"/>
              </w:rPr>
              <w:t xml:space="preserve">on two vectors produced by THIRD-PARTY libraries (openpyxl, docx): sheets named — openpyxl's workbook revealed that relationships were only read in Excel's attribute order, and that any file from another tool displayed as “sheet1”; vertical merge unfolded over 3 rows in the workbook and 3 in the document, each row keeping its own values; horizontal merge not copied into the neighbouring column and with no end-of-row shift; 5 dates made readable on the correct calendar origin; 2 formulas with no calculated value counted and reported; and no remark at all on a table that has nothing to report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Delegated authentication: the token is verified, nobody is created, and signing stays local</w:t>
            </w:r>
          </w:p>
          <w:p>
            <w:pPr>
              <w:spacing w:after="0"/>
            </w:pPr>
            <w:r>
              <w:rPr>
                <w:color w:val="475569"/>
                <w:sz w:val="15"/>
                <w:szCs w:val="15"/>
              </w:rPr>
              <w:t xml:space="preserve">Verify, on tokens FORGED for the purpose, that an identity token is accepted only after checking its RS256 signature, issuer, audience, expiry and nonce; that “alg: none” and algorithm confusion are refused; that an incomplete or cleartext configuration is treated as absent; and — above all — that the signing path depends on no delegated-authentication module, so that the second component required by 21 CFR 11.200(a)(1) remains a local secret.</w:t>
            </w:r>
          </w:p>
        </w:tc>
        <w:tc>
          <w:tcPr>
            <w:tcW w:type="pct" w:w="45%"/>
            <w:tcMar>
              <w:top w:type="dxa" w:w="80"/>
              <w:left w:type="dxa" w:w="110"/>
              <w:bottom w:type="dxa" w:w="80"/>
              <w:right w:type="dxa" w:w="110"/>
            </w:tcMar>
          </w:tcPr>
          <w:p>
            <w:pPr>
              <w:spacing w:after="0"/>
            </w:pPr>
            <w:r>
              <w:rPr>
                <w:sz w:val="17"/>
                <w:szCs w:val="17"/>
              </w:rPr>
              <w:t xml:space="preserve">nominal token accepted and address normalised; 15 hostile tokens refused, including “alg: none”, RS256/HS256 confusion, a signature from another key, a payload altered after signing, unexpected issuer and audience, multiple audiences without an authorized party, an expired token, an absent then incorrect nonce, and an address not verified by the directory; configuration treated as absent when incomplete (4 variables exercised one by one) or when the issuer is not HTTPS; PKCE S256 whose challenge matches its verifier, state and nonce distinct and renewed at every request; 172 source file(s) re-read, no module outside the authentication shell depends on SSO, signature re-authentication still verifies a LOCAL secret, and the directory callback creates no person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What depends on the database engine is inventoried, and the inventory is re-read from the source</w:t>
            </w:r>
          </w:p>
          <w:p>
            <w:pPr>
              <w:spacing w:after="0"/>
            </w:pPr>
            <w:r>
              <w:rPr>
                <w:color w:val="475569"/>
                <w:sz w:val="15"/>
                <w:szCs w:val="15"/>
              </w:rPr>
              <w:t xml:space="preserve">Verify that no engine-dependent point exists outside the declared inventory, that the detector actually finds the points it claims to watch — first among them the read-then-write of the audit chain head and its console mirror —, and that the engine property the search relies on is the documented one: observing case-insensitivity rather than assuming it.</w:t>
            </w:r>
          </w:p>
        </w:tc>
        <w:tc>
          <w:tcPr>
            <w:tcW w:type="pct" w:w="45%"/>
            <w:tcMar>
              <w:top w:type="dxa" w:w="80"/>
              <w:left w:type="dxa" w:w="110"/>
              <w:bottom w:type="dxa" w:w="80"/>
              <w:right w:type="dxa" w:w="110"/>
            </w:tcMar>
          </w:tcPr>
          <w:p>
            <w:pPr>
              <w:spacing w:after="0"/>
            </w:pPr>
            <w:r>
              <w:rPr>
                <w:sz w:val="17"/>
                <w:szCs w:val="17"/>
              </w:rPr>
              <w:t xml:space="preserve">34 engine-dependent point(s) found on the source and all declared — 3 PRAGMA statement(s), 2 read-then-write(s) of the chain head (the chaining AND its console mirror, this second copy having been found by the audit rather than anticipated), 27 “contains” search(es), the pinned provider and the migration lineage; the case-insensitivity of the qualified engine is OBSERVED rather than assumed (1 = 1); the schema still declares “sqlite” and the portability note states that the other engine is not offered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Read-only API: no write to the graph, token kept as a fingerprint, response reproducible</w:t>
            </w:r>
          </w:p>
          <w:p>
            <w:pPr>
              <w:spacing w:after="0"/>
            </w:pPr>
            <w:r>
              <w:rPr>
                <w:color w:val="475569"/>
                <w:sz w:val="15"/>
                <w:szCs w:val="15"/>
              </w:rPr>
              <w:t xml:space="preserve">Verify by re-reading the source that no API route writes to the design graph and that all go through the single guard; that a token is refused when absent, malformed, unknown then revoked, without the response distinguishing those cases; that it is kept only as a fingerprint; and that a response lets its recipient REPRODUCE the announced fingerprint by applying to the letter the rule written into the response.</w:t>
            </w:r>
          </w:p>
        </w:tc>
        <w:tc>
          <w:tcPr>
            <w:tcW w:type="pct" w:w="45%"/>
            <w:tcMar>
              <w:top w:type="dxa" w:w="80"/>
              <w:left w:type="dxa" w:w="110"/>
              <w:bottom w:type="dxa" w:w="80"/>
              <w:right w:type="dxa" w:w="110"/>
            </w:tcMar>
          </w:tcPr>
          <w:p>
            <w:pPr>
              <w:spacing w:after="0"/>
            </w:pPr>
            <w:r>
              <w:rPr>
                <w:sz w:val="17"/>
                <w:szCs w:val="17"/>
              </w:rPr>
              <w:t xml:space="preserve">4 API route(s) re-read: none writes to the database and all go through the single guard; the token module writes only on tokens themselves (issuance and last-used date); a token is refused when absent, empty, without the Bearer scheme, malformed, without prefix, unknown, then revoked — and the refusal distinguishes none of these cases; the token is kept only as its SHA-256 fingerprint, its clear value exists nowhere in the database; the announced fingerprint of a response is REPRODUCED by applying to the letter the rule written into that response, escapes included; and its anchor designates the audit-chain head at extraction time (rank 85). 3 resources published.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PDF/A conformance pronounced by the reference implementation, witness included</w:t>
            </w:r>
          </w:p>
          <w:p>
            <w:pPr>
              <w:spacing w:after="0"/>
            </w:pPr>
            <w:r>
              <w:rPr>
                <w:color w:val="475569"/>
                <w:sz w:val="15"/>
                <w:szCs w:val="15"/>
              </w:rPr>
              <w:t xml:space="preserve">Submit to veraPDF — the reference implementation, external to this project — a document built to defeat it, and FIRST require that it reject a deliberately non-conformant file. A validator that can no longer say “no” would return a permanent green; the witness is therefore checked before anything else, and its passing would invalidate the entire run.</w:t>
            </w:r>
          </w:p>
        </w:tc>
        <w:tc>
          <w:tcPr>
            <w:tcW w:type="pct" w:w="45%"/>
            <w:tcMar>
              <w:top w:type="dxa" w:w="80"/>
              <w:left w:type="dxa" w:w="110"/>
              <w:bottom w:type="dxa" w:w="80"/>
              <w:right w:type="dxa" w:w="110"/>
            </w:tcMar>
          </w:tcPr>
          <w:p>
            <w:pPr>
              <w:spacing w:after="0"/>
            </w:pPr>
            <w:r>
              <w:rPr>
                <w:sz w:val="17"/>
                <w:szCs w:val="17"/>
              </w:rPr>
              <w:t xml:space="preserve">veraPDF 1.30.2 returned two verdicts on files produced during this case. The witness — no embedded font, no output intent, no XMP metadata, written byte by byte without going through Filum's modules — is REJECTED on 5 rule(s): the measurement discriminates. The torture document, gathering 7 character families (chemistry, Greek, mathematics, fractions, units, ideograms, emoji, diacritics) and having exercised 2 substitution(s) of absent glyphs, is declared CONFORMANT to the PDF/A-2b profile. The internal structural check returns the same verdict on the same file, and confirms zero references to the .notdef glyph.</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3619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47 requirements, 43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validated by veraPDF 1.30.2, the reference implementation, run over a complete archive and over a torture document built to break it; the harness carries a non-conformant witness and refuses to conclude if the validator lets it pass. On its first run this check found two non-conformities our own verifications did not see. THE FORMAT IS VALIDATED, NOT CERTIFIED: a conforming validator is not a notified body, and the claim covers that validator version and that corpus. The embedded fonts cover the domain alphabet — Greek, Cyrillic, mathematical operators, superscripts, fractions, arrows — as well as kana and ideograms; a qualification case re-reads that coverage on the delivered fonts, and a font announces only what it can draw. The ideograph font is embedded only in documents that carry them, and reduced to what they use: a record without ideograms pays nothing. REMAINING LIMITATION: Hangul, ideographs specific to Simplified Chinese and colour emoji are not drawable; they are replaced, and every copy DECLARES which ones in a dedicated table.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9 August 2026 at 12:37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2026-08-09T12:52:51.917Z</dcterms:created>
  <dcterms:modified xsi:type="dcterms:W3CDTF">2026-08-09T12:52:51.917Z</dcterms:modified>
</cp:coreProperties>
</file>

<file path=docProps/custom.xml><?xml version="1.0" encoding="utf-8"?>
<Properties xmlns="http://schemas.openxmlformats.org/officeDocument/2006/custom-properties" xmlns:vt="http://schemas.openxmlformats.org/officeDocument/2006/docPropsVTypes"/>
</file>