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33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bl>
    <w:p>
      <w:pPr>
        <w:pStyle w:val="Heading2"/>
        <w:spacing w:after="140" w:before="320"/>
      </w:pPr>
      <w:r>
        <w:t xml:space="preserve">4. Analyse de risque logiciel</w:t>
      </w:r>
    </w:p>
    <w:p>
      <w:pPr>
        <w:spacing w:after="140"/>
      </w:pPr>
      <w:r>
        <w:rPr>
          <w:sz w:val="20"/>
          <w:szCs w:val="20"/>
        </w:rPr>
        <w:t xml:space="preserve">Répartition : 22 exigences à risque haut, 9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6 août 2026 à 10:40</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30 cas sur 30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(3ada9e146eb2… ≠ ab0bef13d11f…),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10485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cmshdwut…, empreinte attestée 3767 CD80 ACC9, manifestation « Testeur QA1 (QA1) · Approuvé · 06/08/2026 10:40:08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10486 octets relus à l'identique ; inversion d'un octet en position 5243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(10496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138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29 fichier(s) couverts par empreintes.sha256, 0 écart ; ancre b5e0acc3f3be422d…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202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2036-08-06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154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32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188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48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188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6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/login répond 200 ; une route protégée rend l'écran de connexion (10431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8768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181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24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33 exigences, 29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performance sous charge n'est pas qualifiée ici : les mesures de montée en charge existent mais relèvent de l'exploitation, pas de la validation fonctionnelle.</w:t>
      </w:r>
    </w:p>
    <w:p>
      <w:pPr>
        <w:spacing w:after="100"/>
      </w:pPr>
      <w:r>
        <w:rPr>
          <w:sz w:val="20"/>
          <w:szCs w:val="20"/>
        </w:rPr>
        <w:t xml:space="preserve">— Aucun test de pénétration n'a été conduit par un tiers indépendant. Les contrôles d'autorité sont vérifiés, la résistance à une attaque ciblée ne l'est pas.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6 août 2026 à 10:40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2026-08-06T10:41:04.075Z</dcterms:created>
  <dcterms:modified xsi:type="dcterms:W3CDTF">2026-08-06T10:41:04.075Z</dcterms:modified>
</cp:coreProperties>
</file>

<file path=docProps/custom.xml><?xml version="1.0" encoding="utf-8"?>
<Properties xmlns="http://schemas.openxmlformats.org/officeDocument/2006/custom-properties" xmlns:vt="http://schemas.openxmlformats.org/officeDocument/2006/docPropsVTypes"/>
</file>