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33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Software risk analysis</w:t>
      </w:r>
    </w:p>
    <w:p>
      <w:pPr>
        <w:spacing w:after="140"/>
      </w:pPr>
      <w:r>
        <w:rPr>
          <w:sz w:val="20"/>
          <w:szCs w:val="20"/>
        </w:rPr>
        <w:t xml:space="preserve">Breakdown: 22 requirements at high risk, 9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10:40</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30 of 30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(3ada9e146eb2… ≠ ab0bef13d11f…),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cmshdwut…, attested fingerprint 3767 CD80 ACC9, manifestation “Testeur QA1 (QA1) · Approuvé · 06/08/2026 10:40:08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10486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138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b5e0acc3f3be422d…;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202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188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188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8768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181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33 requirements, 29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10:40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2026-08-06T10:41:04.168Z</dcterms:created>
  <dcterms:modified xsi:type="dcterms:W3CDTF">2026-08-06T10:41:04.168Z</dcterms:modified>
</cp:coreProperties>
</file>

<file path=docProps/custom.xml><?xml version="1.0" encoding="utf-8"?>
<Properties xmlns="http://schemas.openxmlformats.org/officeDocument/2006/custom-properties" xmlns:vt="http://schemas.openxmlformats.org/officeDocument/2006/docPropsVTypes"/>
</file>