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47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pendant deux mois,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Analyse de risque logiciel</w:t>
      </w:r>
    </w:p>
    <w:p>
      <w:pPr>
        <w:spacing w:after="140"/>
      </w:pPr>
      <w:r>
        <w:rPr>
          <w:sz w:val="20"/>
          <w:szCs w:val="20"/>
        </w:rPr>
        <w:t xml:space="preserve">Répartition : 29 exigences à risque haut, 16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9 août 2026 à 11:54</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44 cas sur 44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(cca89a0dbae2… ≠ db67db189192…),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10485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cmslqw5e…, empreinte attestée 3767 CD80 ACC9, manifestation « Testeur QA1 (QA1) · Approuvé · 09/08/2026 11:54:35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10483 octets relus à l'identique ; inversion d'un octet en position 5241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171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2d6b823ad098cc17…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384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2036-08-09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89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35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237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237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9449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193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(108365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09/08/2026 11:54:46 UTC · enregistrement E88D D121 F5AC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178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176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171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34 point(s) dépendant du moteur relevés sur la source et tous déclarés — 3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10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3624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47 exigences, 43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La police embarquée a été remplacée pour couvrir l'alphabet du domaine — grec, opérateurs mathématiques, exposants, fractions, flèches —, un cas de qualification relit cette couverture sur la police livrée, et la police n'annonce que ce qu'elle sait dessiner. LIMITE SUBSISTANTE : idéogrammes, cyrillique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9 août 2026 à 11:54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2026-08-09T11:55:26.262Z</dcterms:created>
  <dcterms:modified xsi:type="dcterms:W3CDTF">2026-08-09T11:55:26.263Z</dcterms:modified>
</cp:coreProperties>
</file>

<file path=docProps/custom.xml><?xml version="1.0" encoding="utf-8"?>
<Properties xmlns="http://schemas.openxmlformats.org/officeDocument/2006/custom-properties" xmlns:vt="http://schemas.openxmlformats.org/officeDocument/2006/docPropsVTypes"/>
</file>