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9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no control of quality-system documents (procedures, work instructions, forms).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integrations</w:t>
      </w:r>
    </w:p>
    <w:p>
      <w:pPr>
        <w:spacing w:after="150"/>
      </w:pPr>
      <w:r>
        <w:rPr>
          <w:sz w:val="20"/>
          <w:szCs w:val="20"/>
        </w:rPr>
        <w:t xml:space="preserve">No public API, no webhooks, no PLM, ERP or ALM connector, no ReqIF, no Word or Excel (.xlsx) import. Data migration goes through CSV files.</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9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9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2026-08-09T11:55:15.390Z</dcterms:created>
  <dcterms:modified xsi:type="dcterms:W3CDTF">2026-08-09T11:55:15.390Z</dcterms:modified>
</cp:coreProperties>
</file>

<file path=docProps/custom.xml><?xml version="1.0" encoding="utf-8"?>
<Properties xmlns="http://schemas.openxmlformats.org/officeDocument/2006/custom-properties" xmlns:vt="http://schemas.openxmlformats.org/officeDocument/2006/docPropsVTypes"/>
</file>